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516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10564"/>
      </w:tblGrid>
      <w:tr w:rsidR="0029145D" w:rsidRPr="001300B9" w14:paraId="79D9C957" w14:textId="77777777" w:rsidTr="0029145D">
        <w:trPr>
          <w:trHeight w:val="774"/>
        </w:trPr>
        <w:tc>
          <w:tcPr>
            <w:tcW w:w="10564" w:type="dxa"/>
          </w:tcPr>
          <w:p w14:paraId="672E74A8" w14:textId="77777777" w:rsidR="002259E7" w:rsidRPr="001300B9" w:rsidRDefault="002259E7" w:rsidP="0029145D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1300B9">
              <w:rPr>
                <w:rFonts w:ascii="Source Sans Pro" w:hAnsi="Source Sans Pro"/>
                <w:b/>
                <w:sz w:val="22"/>
                <w:szCs w:val="22"/>
              </w:rPr>
              <w:t>Agency:</w:t>
            </w:r>
          </w:p>
          <w:p w14:paraId="7C3E373B" w14:textId="77777777" w:rsidR="002259E7" w:rsidRPr="001300B9" w:rsidRDefault="002259E7" w:rsidP="0029145D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</w:tbl>
    <w:p w14:paraId="6873431C" w14:textId="77777777" w:rsidR="002259E7" w:rsidRPr="001300B9" w:rsidRDefault="002259E7">
      <w:pPr>
        <w:ind w:firstLine="720"/>
        <w:rPr>
          <w:rFonts w:ascii="Source Sans Pro" w:hAnsi="Source Sans Pro"/>
          <w:sz w:val="22"/>
          <w:szCs w:val="22"/>
        </w:rPr>
      </w:pPr>
    </w:p>
    <w:p w14:paraId="7EE73D90" w14:textId="49E72E9A" w:rsidR="0029145D" w:rsidRPr="001300B9" w:rsidRDefault="0029145D">
      <w:pPr>
        <w:pStyle w:val="Heading2"/>
        <w:rPr>
          <w:rFonts w:ascii="Source Sans Pro" w:hAnsi="Source Sans Pro"/>
          <w:b w:val="0"/>
          <w:szCs w:val="22"/>
        </w:rPr>
      </w:pPr>
    </w:p>
    <w:p w14:paraId="28E26928" w14:textId="44630B01" w:rsidR="002259E7" w:rsidRPr="001300B9" w:rsidRDefault="0029145D">
      <w:pPr>
        <w:pStyle w:val="Heading2"/>
        <w:rPr>
          <w:rFonts w:ascii="Source Sans Pro" w:hAnsi="Source Sans Pro"/>
          <w:b w:val="0"/>
          <w:szCs w:val="22"/>
        </w:rPr>
      </w:pPr>
      <w:r w:rsidRPr="001300B9">
        <w:rPr>
          <w:rFonts w:ascii="Source Sans Pro" w:hAnsi="Source Sans Pro"/>
          <w:szCs w:val="22"/>
        </w:rPr>
        <w:t>References:</w:t>
      </w:r>
      <w:r w:rsidRPr="001300B9">
        <w:rPr>
          <w:rFonts w:ascii="Source Sans Pro" w:hAnsi="Source Sans Pro"/>
          <w:b w:val="0"/>
          <w:szCs w:val="22"/>
        </w:rPr>
        <w:t xml:space="preserve"> </w:t>
      </w:r>
      <w:hyperlink r:id="rId10" w:anchor="uscode_3" w:history="1">
        <w:r w:rsidRPr="004B7F3D">
          <w:rPr>
            <w:rStyle w:val="Hyperlink"/>
            <w:rFonts w:ascii="Source Sans Pro" w:hAnsi="Source Sans Pro"/>
            <w:b w:val="0"/>
            <w:szCs w:val="22"/>
          </w:rPr>
          <w:t>5 U.S.C. 1104</w:t>
        </w:r>
      </w:hyperlink>
      <w:r w:rsidRPr="001300B9">
        <w:rPr>
          <w:rFonts w:ascii="Source Sans Pro" w:hAnsi="Source Sans Pro"/>
          <w:b w:val="0"/>
          <w:szCs w:val="22"/>
        </w:rPr>
        <w:t xml:space="preserve">; </w:t>
      </w:r>
      <w:hyperlink r:id="rId11" w:history="1">
        <w:r w:rsidRPr="00595BCA">
          <w:rPr>
            <w:rStyle w:val="Hyperlink"/>
            <w:rFonts w:ascii="Source Sans Pro" w:hAnsi="Source Sans Pro"/>
            <w:b w:val="0"/>
            <w:szCs w:val="22"/>
          </w:rPr>
          <w:t>5 CFR 250</w:t>
        </w:r>
      </w:hyperlink>
      <w:r w:rsidRPr="001300B9">
        <w:rPr>
          <w:rFonts w:ascii="Source Sans Pro" w:hAnsi="Source Sans Pro"/>
          <w:b w:val="0"/>
          <w:szCs w:val="22"/>
        </w:rPr>
        <w:t xml:space="preserve">; </w:t>
      </w:r>
      <w:hyperlink r:id="rId12" w:history="1">
        <w:r w:rsidRPr="003403F7">
          <w:rPr>
            <w:rStyle w:val="Hyperlink"/>
            <w:rFonts w:ascii="Source Sans Pro" w:hAnsi="Source Sans Pro"/>
            <w:b w:val="0"/>
            <w:szCs w:val="22"/>
          </w:rPr>
          <w:t>Delegated Examining Operations Handbook (DEOH)</w:t>
        </w:r>
      </w:hyperlink>
      <w:r w:rsidRPr="001300B9">
        <w:rPr>
          <w:rFonts w:ascii="Source Sans Pro" w:hAnsi="Source Sans Pro"/>
          <w:b w:val="0"/>
          <w:szCs w:val="22"/>
        </w:rPr>
        <w:t xml:space="preserve">, and the </w:t>
      </w:r>
      <w:r w:rsidR="00F77A1A" w:rsidRPr="001300B9">
        <w:rPr>
          <w:rFonts w:ascii="Source Sans Pro" w:hAnsi="Source Sans Pro"/>
          <w:b w:val="0"/>
          <w:szCs w:val="22"/>
        </w:rPr>
        <w:t>agency’s Interagency Delegated Examining Agreement (IDEA) with OPM</w:t>
      </w:r>
      <w:r w:rsidR="00704849" w:rsidRPr="001300B9">
        <w:rPr>
          <w:rFonts w:ascii="Source Sans Pro" w:hAnsi="Source Sans Pro"/>
          <w:b w:val="0"/>
          <w:szCs w:val="22"/>
        </w:rPr>
        <w:t>. For</w:t>
      </w:r>
      <w:r w:rsidR="00AB019B" w:rsidRPr="001300B9">
        <w:rPr>
          <w:rFonts w:ascii="Source Sans Pro" w:hAnsi="Source Sans Pro"/>
          <w:b w:val="0"/>
          <w:szCs w:val="22"/>
        </w:rPr>
        <w:t xml:space="preserve"> review items </w:t>
      </w:r>
      <w:r w:rsidR="00704849" w:rsidRPr="001300B9">
        <w:rPr>
          <w:rFonts w:ascii="Source Sans Pro" w:hAnsi="Source Sans Pro"/>
          <w:b w:val="0"/>
          <w:szCs w:val="22"/>
        </w:rPr>
        <w:t xml:space="preserve">resulting in required actions, </w:t>
      </w:r>
      <w:r w:rsidR="00AB019B" w:rsidRPr="001300B9">
        <w:rPr>
          <w:rFonts w:ascii="Source Sans Pro" w:hAnsi="Source Sans Pro"/>
          <w:b w:val="0"/>
          <w:szCs w:val="22"/>
        </w:rPr>
        <w:t>cite 5 U.S.C. 1104 and 5 CFR 250</w:t>
      </w:r>
      <w:r w:rsidR="00704849" w:rsidRPr="001300B9">
        <w:rPr>
          <w:rFonts w:ascii="Source Sans Pro" w:hAnsi="Source Sans Pro"/>
          <w:b w:val="0"/>
          <w:szCs w:val="22"/>
        </w:rPr>
        <w:t xml:space="preserve"> where DEOH references are shown below.</w:t>
      </w:r>
    </w:p>
    <w:p w14:paraId="10E8F129" w14:textId="77777777" w:rsidR="002259E7" w:rsidRPr="001300B9" w:rsidRDefault="002259E7">
      <w:pPr>
        <w:rPr>
          <w:rFonts w:ascii="Source Sans Pro" w:hAnsi="Source Sans Pro"/>
          <w:sz w:val="22"/>
          <w:szCs w:val="22"/>
        </w:rPr>
      </w:pPr>
    </w:p>
    <w:p w14:paraId="53786C43" w14:textId="69BBB194" w:rsidR="002259E7" w:rsidRPr="001300B9" w:rsidRDefault="00F77A1A">
      <w:pPr>
        <w:rPr>
          <w:rFonts w:ascii="Source Sans Pro" w:hAnsi="Source Sans Pro"/>
          <w:b/>
          <w:sz w:val="22"/>
          <w:szCs w:val="22"/>
        </w:rPr>
      </w:pPr>
      <w:r w:rsidRPr="001300B9">
        <w:rPr>
          <w:rFonts w:ascii="Source Sans Pro" w:hAnsi="Source Sans Pro"/>
          <w:b/>
          <w:sz w:val="22"/>
          <w:szCs w:val="22"/>
        </w:rPr>
        <w:t>Instructions</w:t>
      </w:r>
      <w:r w:rsidR="002259E7" w:rsidRPr="001300B9">
        <w:rPr>
          <w:rFonts w:ascii="Source Sans Pro" w:hAnsi="Source Sans Pro"/>
          <w:b/>
          <w:sz w:val="22"/>
          <w:szCs w:val="22"/>
        </w:rPr>
        <w:t>:</w:t>
      </w:r>
      <w:r w:rsidR="002259E7" w:rsidRPr="001300B9">
        <w:rPr>
          <w:rFonts w:ascii="Source Sans Pro" w:hAnsi="Source Sans Pro"/>
          <w:sz w:val="22"/>
          <w:szCs w:val="22"/>
        </w:rPr>
        <w:t xml:space="preserve"> Use this checklist in conjunction with the Delegated Examining Action Review checklist, </w:t>
      </w:r>
      <w:r w:rsidR="007C08A4" w:rsidRPr="001300B9">
        <w:rPr>
          <w:rFonts w:ascii="Source Sans Pro" w:hAnsi="Source Sans Pro"/>
          <w:sz w:val="22"/>
          <w:szCs w:val="22"/>
        </w:rPr>
        <w:t>the agency’s I</w:t>
      </w:r>
      <w:r w:rsidRPr="001300B9">
        <w:rPr>
          <w:rFonts w:ascii="Source Sans Pro" w:hAnsi="Source Sans Pro"/>
          <w:sz w:val="22"/>
          <w:szCs w:val="22"/>
        </w:rPr>
        <w:t xml:space="preserve">DEA, </w:t>
      </w:r>
      <w:r w:rsidR="00361BBE" w:rsidRPr="001300B9">
        <w:rPr>
          <w:rFonts w:ascii="Source Sans Pro" w:hAnsi="Source Sans Pro"/>
          <w:sz w:val="22"/>
          <w:szCs w:val="22"/>
        </w:rPr>
        <w:t xml:space="preserve">and </w:t>
      </w:r>
      <w:r w:rsidR="002259E7" w:rsidRPr="001300B9">
        <w:rPr>
          <w:rFonts w:ascii="Source Sans Pro" w:hAnsi="Source Sans Pro"/>
          <w:sz w:val="22"/>
          <w:szCs w:val="22"/>
        </w:rPr>
        <w:t>the D</w:t>
      </w:r>
      <w:r w:rsidRPr="001300B9">
        <w:rPr>
          <w:rFonts w:ascii="Source Sans Pro" w:hAnsi="Source Sans Pro"/>
          <w:sz w:val="22"/>
          <w:szCs w:val="22"/>
        </w:rPr>
        <w:t>EOH.</w:t>
      </w:r>
      <w:r w:rsidR="002259E7" w:rsidRPr="001300B9">
        <w:rPr>
          <w:rFonts w:ascii="Source Sans Pro" w:hAnsi="Source Sans Pro"/>
          <w:sz w:val="22"/>
          <w:szCs w:val="22"/>
        </w:rPr>
        <w:t xml:space="preserve"> Delegated examining </w:t>
      </w:r>
      <w:r w:rsidR="00964F91" w:rsidRPr="001300B9">
        <w:rPr>
          <w:rFonts w:ascii="Source Sans Pro" w:hAnsi="Source Sans Pro"/>
          <w:sz w:val="22"/>
          <w:szCs w:val="22"/>
        </w:rPr>
        <w:t xml:space="preserve">(DE) </w:t>
      </w:r>
      <w:r w:rsidR="002259E7" w:rsidRPr="001300B9">
        <w:rPr>
          <w:rFonts w:ascii="Source Sans Pro" w:hAnsi="Source Sans Pro"/>
          <w:sz w:val="22"/>
          <w:szCs w:val="22"/>
        </w:rPr>
        <w:t>authority applies to filling temporary and term positions as well as permanent competitive service positions.</w:t>
      </w:r>
      <w:r w:rsidR="002259E7" w:rsidRPr="001300B9">
        <w:rPr>
          <w:rFonts w:ascii="Source Sans Pro" w:hAnsi="Source Sans Pro"/>
          <w:b/>
          <w:sz w:val="22"/>
          <w:szCs w:val="22"/>
        </w:rPr>
        <w:t xml:space="preserve"> </w:t>
      </w:r>
    </w:p>
    <w:p w14:paraId="63A5B536" w14:textId="77777777" w:rsidR="00163E88" w:rsidRPr="001300B9" w:rsidRDefault="00163E88">
      <w:pPr>
        <w:rPr>
          <w:rFonts w:ascii="Source Sans Pro" w:hAnsi="Source Sans Pro"/>
          <w:b/>
          <w:sz w:val="22"/>
          <w:szCs w:val="22"/>
        </w:rPr>
      </w:pPr>
    </w:p>
    <w:p w14:paraId="6158F525" w14:textId="47FEDD17" w:rsidR="00163E88" w:rsidRPr="001300B9" w:rsidRDefault="001300B9">
      <w:pPr>
        <w:rPr>
          <w:rFonts w:ascii="Source Sans Pro" w:hAnsi="Source Sans Pro"/>
          <w:b/>
          <w:sz w:val="22"/>
          <w:szCs w:val="22"/>
        </w:rPr>
      </w:pPr>
      <w:hyperlink w:anchor="_Other_Comments:" w:history="1">
        <w:r w:rsidRPr="001300B9">
          <w:rPr>
            <w:rStyle w:val="Hyperlink"/>
            <w:rFonts w:ascii="Source Sans Pro" w:hAnsi="Source Sans Pro"/>
            <w:b/>
            <w:sz w:val="22"/>
            <w:szCs w:val="22"/>
          </w:rPr>
          <w:t>Quick Link to "Case File Summary/Comments:"</w:t>
        </w:r>
      </w:hyperlink>
    </w:p>
    <w:tbl>
      <w:tblPr>
        <w:tblW w:w="1053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5310"/>
        <w:gridCol w:w="4320"/>
      </w:tblGrid>
      <w:tr w:rsidR="00362032" w:rsidRPr="001300B9" w14:paraId="18959D59" w14:textId="77777777" w:rsidTr="00A23894">
        <w:trPr>
          <w:trHeight w:val="269"/>
          <w:tblHeader/>
        </w:trPr>
        <w:tc>
          <w:tcPr>
            <w:tcW w:w="450" w:type="dxa"/>
            <w:tcBorders>
              <w:bottom w:val="nil"/>
              <w:right w:val="single" w:sz="4" w:space="0" w:color="FFFFFF"/>
            </w:tcBorders>
            <w:shd w:val="clear" w:color="auto" w:fill="727477"/>
          </w:tcPr>
          <w:p w14:paraId="4DDE3349" w14:textId="77777777" w:rsidR="007C08A4" w:rsidRPr="00630D54" w:rsidRDefault="00DE63ED">
            <w:pPr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630D54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Y</w:t>
            </w:r>
          </w:p>
        </w:tc>
        <w:tc>
          <w:tcPr>
            <w:tcW w:w="450" w:type="dxa"/>
            <w:tcBorders>
              <w:bottom w:val="nil"/>
              <w:right w:val="single" w:sz="4" w:space="0" w:color="FFFFFF"/>
            </w:tcBorders>
            <w:shd w:val="clear" w:color="auto" w:fill="727477"/>
          </w:tcPr>
          <w:p w14:paraId="60625567" w14:textId="77777777" w:rsidR="007C08A4" w:rsidRPr="00630D54" w:rsidRDefault="00DE63ED">
            <w:pPr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630D54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N</w:t>
            </w:r>
          </w:p>
        </w:tc>
        <w:tc>
          <w:tcPr>
            <w:tcW w:w="5310" w:type="dxa"/>
            <w:tcBorders>
              <w:left w:val="nil"/>
              <w:bottom w:val="nil"/>
              <w:right w:val="single" w:sz="4" w:space="0" w:color="FFFFFF"/>
            </w:tcBorders>
            <w:shd w:val="clear" w:color="auto" w:fill="727477"/>
          </w:tcPr>
          <w:p w14:paraId="3773411C" w14:textId="01301781" w:rsidR="007C08A4" w:rsidRPr="00630D54" w:rsidRDefault="007C08A4" w:rsidP="004750CB">
            <w:pPr>
              <w:pStyle w:val="Heading2"/>
              <w:rPr>
                <w:rFonts w:ascii="Source Sans Pro" w:hAnsi="Source Sans Pro"/>
                <w:color w:val="FBFBFB"/>
                <w:szCs w:val="22"/>
              </w:rPr>
            </w:pPr>
            <w:r w:rsidRPr="00630D54">
              <w:rPr>
                <w:rFonts w:ascii="Source Sans Pro" w:hAnsi="Source Sans Pro"/>
                <w:color w:val="FBFBFB"/>
                <w:szCs w:val="22"/>
              </w:rPr>
              <w:t>Review Item</w:t>
            </w:r>
          </w:p>
        </w:tc>
        <w:tc>
          <w:tcPr>
            <w:tcW w:w="4320" w:type="dxa"/>
            <w:tcBorders>
              <w:left w:val="nil"/>
              <w:bottom w:val="nil"/>
            </w:tcBorders>
            <w:shd w:val="clear" w:color="auto" w:fill="727477"/>
          </w:tcPr>
          <w:p w14:paraId="5B95B034" w14:textId="2D026FEE" w:rsidR="007C08A4" w:rsidRPr="00630D54" w:rsidRDefault="007C08A4" w:rsidP="004750CB">
            <w:pPr>
              <w:pStyle w:val="Heading2"/>
              <w:rPr>
                <w:rFonts w:ascii="Source Sans Pro" w:hAnsi="Source Sans Pro"/>
                <w:color w:val="FBFBFB"/>
                <w:szCs w:val="22"/>
              </w:rPr>
            </w:pPr>
            <w:bookmarkStart w:id="0" w:name="_Comments"/>
            <w:bookmarkEnd w:id="0"/>
            <w:r w:rsidRPr="00630D54">
              <w:rPr>
                <w:rFonts w:ascii="Source Sans Pro" w:hAnsi="Source Sans Pro"/>
                <w:color w:val="FBFBFB"/>
                <w:szCs w:val="22"/>
              </w:rPr>
              <w:t>Comments</w:t>
            </w:r>
          </w:p>
        </w:tc>
      </w:tr>
      <w:tr w:rsidR="007C08A4" w:rsidRPr="001300B9" w14:paraId="2EBFE7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2CBC" w14:textId="77777777" w:rsidR="007C08A4" w:rsidRPr="001300B9" w:rsidRDefault="007C08A4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293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B7CD" w14:textId="714E89A7" w:rsidR="007C08A4" w:rsidRPr="001300B9" w:rsidRDefault="007C08A4" w:rsidP="00AF6E2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62CC09E">
              <w:rPr>
                <w:rFonts w:ascii="Source Sans Pro" w:hAnsi="Source Sans Pro"/>
                <w:sz w:val="22"/>
                <w:szCs w:val="22"/>
              </w:rPr>
              <w:t>The agency has an Interagency Delegated Examin</w:t>
            </w:r>
            <w:r w:rsidR="00AB019B" w:rsidRPr="062CC09E">
              <w:rPr>
                <w:rFonts w:ascii="Source Sans Pro" w:hAnsi="Source Sans Pro"/>
                <w:sz w:val="22"/>
                <w:szCs w:val="22"/>
              </w:rPr>
              <w:t xml:space="preserve">ing Agreement </w:t>
            </w:r>
            <w:hyperlink r:id="rId13">
              <w:r w:rsidR="00CD4083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[</w:t>
              </w:r>
              <w:r w:rsidR="00AF6E27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250.102</w:t>
              </w:r>
              <w:r w:rsidR="00E07252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]</w:t>
              </w:r>
            </w:hyperlink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085F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C08A4" w:rsidRPr="001300B9" w14:paraId="440807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C34" w14:textId="77777777" w:rsidR="007C08A4" w:rsidRPr="001300B9" w:rsidRDefault="007C08A4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D37" w14:textId="77777777" w:rsidR="007C08A4" w:rsidRPr="001300B9" w:rsidRDefault="007C08A4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4E8" w14:textId="6B7ACC6C" w:rsidR="007C08A4" w:rsidRPr="001300B9" w:rsidRDefault="007C08A4" w:rsidP="00AF6E2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Establishment of the DEU has been authorized by the agenc</w:t>
            </w:r>
            <w:r w:rsidR="00DE63ED" w:rsidRPr="001300B9">
              <w:rPr>
                <w:rFonts w:ascii="Source Sans Pro" w:hAnsi="Source Sans Pro"/>
                <w:sz w:val="22"/>
                <w:szCs w:val="22"/>
              </w:rPr>
              <w:t>y and approved by OPM</w:t>
            </w:r>
            <w:r w:rsidR="00CD4083"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hyperlink r:id="rId14">
              <w:r w:rsidR="00AF6E27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[5 CFR 250.102</w:t>
              </w:r>
              <w:r w:rsidR="00CD4083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]</w:t>
              </w:r>
            </w:hyperlink>
            <w:r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E85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B162D" w:rsidRPr="001300B9" w14:paraId="2CCDB4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F4B" w14:textId="77777777" w:rsidR="000B162D" w:rsidRPr="001300B9" w:rsidRDefault="000B162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852" w14:textId="77777777" w:rsidR="000B162D" w:rsidRPr="001300B9" w:rsidRDefault="000B162D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718" w14:textId="631368AE" w:rsidR="000B162D" w:rsidRPr="001300B9" w:rsidRDefault="000B162D" w:rsidP="00AF6E2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 xml:space="preserve">Only currently certified staff or trained contractors conduct competitive examining. Those not DE certified may complete on-the-job activities under the oversight of a specialist or supervisor certified in DE </w:t>
            </w:r>
            <w:hyperlink r:id="rId15">
              <w:r w:rsidR="6E7C8029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[</w:t>
              </w:r>
              <w:r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250.102]</w:t>
              </w:r>
            </w:hyperlink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D5F" w14:textId="77777777" w:rsidR="000B162D" w:rsidRPr="001300B9" w:rsidRDefault="000B162D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AE3E79" w:rsidRPr="001300B9" w14:paraId="13A8F9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A2F" w14:textId="77777777" w:rsidR="00AE3E79" w:rsidRPr="001300B9" w:rsidRDefault="00AE3E79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F20" w14:textId="77777777" w:rsidR="00AE3E79" w:rsidRPr="001300B9" w:rsidRDefault="00AE3E79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7E21" w14:textId="77777777" w:rsidR="00AE3E79" w:rsidRPr="001300B9" w:rsidRDefault="00AE3E79" w:rsidP="00AF6E2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62CC09E">
              <w:rPr>
                <w:rFonts w:ascii="Source Sans Pro" w:hAnsi="Source Sans Pro"/>
                <w:sz w:val="22"/>
                <w:szCs w:val="22"/>
              </w:rPr>
              <w:t>An internal accountability system has been implemented</w:t>
            </w:r>
            <w:r w:rsidR="007770F7" w:rsidRPr="062CC09E">
              <w:rPr>
                <w:rFonts w:ascii="Source Sans Pro" w:hAnsi="Source Sans Pro"/>
                <w:sz w:val="22"/>
                <w:szCs w:val="22"/>
              </w:rPr>
              <w:t xml:space="preserve"> [</w:t>
            </w:r>
            <w:hyperlink r:id="rId16">
              <w:r w:rsidR="007770F7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250.</w:t>
              </w:r>
              <w:r w:rsidR="00AF6E27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102</w:t>
              </w:r>
            </w:hyperlink>
            <w:r w:rsidR="00AB019B" w:rsidRPr="062CC09E">
              <w:rPr>
                <w:rFonts w:ascii="Source Sans Pro" w:hAnsi="Source Sans Pro"/>
                <w:sz w:val="22"/>
                <w:szCs w:val="22"/>
              </w:rPr>
              <w:t xml:space="preserve">; </w:t>
            </w:r>
            <w:r w:rsidR="00AF6E27" w:rsidRPr="062CC09E">
              <w:rPr>
                <w:rFonts w:ascii="Source Sans Pro" w:hAnsi="Source Sans Pro"/>
                <w:sz w:val="22"/>
                <w:szCs w:val="22"/>
              </w:rPr>
              <w:t>IDEA]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7F8" w14:textId="77777777" w:rsidR="00AE3E79" w:rsidRPr="001300B9" w:rsidRDefault="00AE3E79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C08A4" w:rsidRPr="001300B9" w14:paraId="7D4512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7B5C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55E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9D9" w14:textId="77777777" w:rsidR="00964F91" w:rsidRPr="001300B9" w:rsidRDefault="00964F91" w:rsidP="00AF6E2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Annual audits of DE activities use staff not associated with DE activities.</w:t>
            </w:r>
          </w:p>
          <w:p w14:paraId="2F473121" w14:textId="1117BDF9" w:rsidR="00964F91" w:rsidRPr="001300B9" w:rsidRDefault="00964F91" w:rsidP="000B162D">
            <w:pPr>
              <w:numPr>
                <w:ilvl w:val="0"/>
                <w:numId w:val="7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Certif</w:t>
            </w:r>
            <w:r w:rsidR="00BE3327" w:rsidRPr="001300B9">
              <w:rPr>
                <w:rFonts w:ascii="Source Sans Pro" w:hAnsi="Source Sans Pro"/>
                <w:sz w:val="22"/>
                <w:szCs w:val="22"/>
              </w:rPr>
              <w:t>ies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 xml:space="preserve"> completion of the audit to OPM.</w:t>
            </w:r>
          </w:p>
          <w:p w14:paraId="4B851022" w14:textId="7D3B0FAB" w:rsidR="00964F91" w:rsidRPr="001300B9" w:rsidRDefault="00964F91" w:rsidP="000B162D">
            <w:pPr>
              <w:numPr>
                <w:ilvl w:val="0"/>
                <w:numId w:val="7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Maintain</w:t>
            </w:r>
            <w:r w:rsidR="00BE3327" w:rsidRPr="001300B9">
              <w:rPr>
                <w:rFonts w:ascii="Source Sans Pro" w:hAnsi="Source Sans Pro"/>
                <w:sz w:val="22"/>
                <w:szCs w:val="22"/>
              </w:rPr>
              <w:t>s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 xml:space="preserve"> a list of all discrepancies and corrective actions.</w:t>
            </w:r>
          </w:p>
          <w:p w14:paraId="56FB3BCF" w14:textId="18AFD114" w:rsidR="00964F91" w:rsidRPr="001300B9" w:rsidRDefault="00BE3327" w:rsidP="000B162D">
            <w:pPr>
              <w:numPr>
                <w:ilvl w:val="0"/>
                <w:numId w:val="7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P</w:t>
            </w:r>
            <w:r w:rsidR="00964F91" w:rsidRPr="001300B9">
              <w:rPr>
                <w:rFonts w:ascii="Source Sans Pro" w:hAnsi="Source Sans Pro"/>
                <w:sz w:val="22"/>
                <w:szCs w:val="22"/>
              </w:rPr>
              <w:t xml:space="preserve">rocedures 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 xml:space="preserve">for annual audit are </w:t>
            </w:r>
            <w:r w:rsidR="00964F91" w:rsidRPr="001300B9">
              <w:rPr>
                <w:rFonts w:ascii="Source Sans Pro" w:hAnsi="Source Sans Pro"/>
                <w:sz w:val="22"/>
                <w:szCs w:val="22"/>
              </w:rPr>
              <w:t>incorporated into the agency's internal accountability system.</w:t>
            </w:r>
          </w:p>
          <w:p w14:paraId="18AAA509" w14:textId="1D80EC6A" w:rsidR="007C08A4" w:rsidRPr="001300B9" w:rsidRDefault="00964F91" w:rsidP="00AF6E2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62CC09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63E88" w:rsidRPr="062CC09E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17">
              <w:r w:rsidR="00AF6E27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250.102</w:t>
              </w:r>
            </w:hyperlink>
            <w:r w:rsidR="00AF6E27" w:rsidRPr="062CC09E">
              <w:rPr>
                <w:rFonts w:ascii="Source Sans Pro" w:hAnsi="Source Sans Pro"/>
                <w:sz w:val="22"/>
                <w:szCs w:val="22"/>
              </w:rPr>
              <w:t>; IDEA</w:t>
            </w:r>
            <w:r w:rsidR="007770F7" w:rsidRPr="062CC09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499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C08A4" w:rsidRPr="001300B9" w14:paraId="161439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37D" w14:textId="77777777" w:rsidR="007C08A4" w:rsidRPr="001300B9" w:rsidRDefault="007C08A4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653" w14:textId="77777777" w:rsidR="007C08A4" w:rsidRPr="001300B9" w:rsidRDefault="007C08A4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701AA7EA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D13" w14:textId="48B3D5DA" w:rsidR="007C08A4" w:rsidRPr="001300B9" w:rsidRDefault="007C08A4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Agency-developed procedures are in compliance with O</w:t>
            </w:r>
            <w:r w:rsidR="007770F7" w:rsidRPr="001300B9">
              <w:rPr>
                <w:rFonts w:ascii="Source Sans Pro" w:hAnsi="Source Sans Pro"/>
                <w:sz w:val="22"/>
                <w:szCs w:val="22"/>
              </w:rPr>
              <w:t>PM regulations</w:t>
            </w:r>
            <w:r w:rsidR="00CD4083" w:rsidRPr="001300B9">
              <w:rPr>
                <w:rFonts w:ascii="Source Sans Pro" w:hAnsi="Source Sans Pro"/>
                <w:sz w:val="22"/>
                <w:szCs w:val="22"/>
              </w:rPr>
              <w:t xml:space="preserve"> and </w:t>
            </w:r>
            <w:r w:rsidR="00163E88" w:rsidRPr="001300B9">
              <w:rPr>
                <w:rFonts w:ascii="Source Sans Pro" w:hAnsi="Source Sans Pro"/>
                <w:sz w:val="22"/>
                <w:szCs w:val="22"/>
              </w:rPr>
              <w:t xml:space="preserve">instructions </w:t>
            </w:r>
            <w:r w:rsidR="00163E88" w:rsidRPr="062CC09E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18">
              <w:r w:rsidR="00AF6E27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250.102</w:t>
              </w:r>
            </w:hyperlink>
            <w:r w:rsidR="00AF6E27" w:rsidRPr="062CC09E">
              <w:rPr>
                <w:rFonts w:ascii="Source Sans Pro" w:hAnsi="Source Sans Pro"/>
                <w:sz w:val="22"/>
                <w:szCs w:val="22"/>
              </w:rPr>
              <w:t>;</w:t>
            </w:r>
            <w:r w:rsidR="00AF6E27" w:rsidRPr="001300B9">
              <w:rPr>
                <w:rFonts w:ascii="Source Sans Pro" w:hAnsi="Source Sans Pro"/>
                <w:sz w:val="22"/>
                <w:szCs w:val="22"/>
              </w:rPr>
              <w:t xml:space="preserve"> IDEA</w:t>
            </w:r>
            <w:r w:rsidR="007770F7" w:rsidRPr="001300B9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F7C" w14:textId="77777777" w:rsidR="007C08A4" w:rsidRPr="001300B9" w:rsidRDefault="007C08A4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3501833B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2E730E" w:rsidRPr="001300B9" w14:paraId="697DBB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F6FC" w14:textId="77777777" w:rsidR="002E730E" w:rsidRPr="001300B9" w:rsidRDefault="002E730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EF40" w14:textId="77777777" w:rsidR="002E730E" w:rsidRPr="001300B9" w:rsidRDefault="002E730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B96" w14:textId="7897BD25" w:rsidR="002E730E" w:rsidRPr="001300B9" w:rsidRDefault="00433847" w:rsidP="0043384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 xml:space="preserve">Provide public notice of the opportunity to compete by listing all announcements for vacant competitive service positions in USAJOBS, a Governmentwide automated employment information system. </w:t>
            </w:r>
            <w:r w:rsidRPr="062CC09E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19">
              <w:r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U.S.C 3327</w:t>
              </w:r>
            </w:hyperlink>
            <w:r w:rsidRPr="062CC09E">
              <w:rPr>
                <w:rFonts w:ascii="Source Sans Pro" w:hAnsi="Source Sans Pro"/>
                <w:sz w:val="22"/>
                <w:szCs w:val="22"/>
              </w:rPr>
              <w:t xml:space="preserve"> and </w:t>
            </w:r>
            <w:hyperlink r:id="rId20">
              <w:r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3330</w:t>
              </w:r>
            </w:hyperlink>
            <w:r w:rsidRPr="062CC09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250" w14:textId="77777777" w:rsidR="002E730E" w:rsidRPr="001300B9" w:rsidRDefault="002E730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DE63ED" w:rsidRPr="001300B9" w14:paraId="016DE7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074" w14:textId="3D31FF00" w:rsidR="00DE63ED" w:rsidRPr="00304343" w:rsidRDefault="00AB019B" w:rsidP="00AB019B">
            <w:pPr>
              <w:spacing w:before="20" w:after="20"/>
              <w:rPr>
                <w:rFonts w:ascii="Source Sans Pro" w:hAnsi="Source Sans Pro"/>
                <w:i/>
                <w:iCs/>
                <w:sz w:val="22"/>
                <w:szCs w:val="22"/>
              </w:rPr>
            </w:pPr>
            <w:r w:rsidRPr="00304343">
              <w:rPr>
                <w:rFonts w:ascii="Source Sans Pro" w:hAnsi="Source Sans Pro"/>
                <w:i/>
                <w:iCs/>
                <w:sz w:val="22"/>
                <w:szCs w:val="22"/>
              </w:rPr>
              <w:t>T</w:t>
            </w:r>
            <w:r w:rsidR="00DE63ED" w:rsidRPr="00304343">
              <w:rPr>
                <w:rFonts w:ascii="Source Sans Pro" w:hAnsi="Source Sans Pro"/>
                <w:i/>
                <w:iCs/>
                <w:sz w:val="22"/>
                <w:szCs w:val="22"/>
              </w:rPr>
              <w:t xml:space="preserve">he agency has written policies and procedures for: </w:t>
            </w:r>
          </w:p>
        </w:tc>
      </w:tr>
      <w:tr w:rsidR="007C08A4" w:rsidRPr="001300B9" w14:paraId="118C4D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D39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585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19BF" w14:textId="6F81047A" w:rsidR="001525E8" w:rsidRPr="001300B9" w:rsidRDefault="00264934" w:rsidP="00AD4A48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 xml:space="preserve">1. </w:t>
            </w:r>
            <w:r w:rsidR="00DE63ED" w:rsidRPr="001300B9">
              <w:rPr>
                <w:rFonts w:ascii="Source Sans Pro" w:hAnsi="Source Sans Pro"/>
                <w:sz w:val="22"/>
                <w:szCs w:val="22"/>
              </w:rPr>
              <w:t>A</w:t>
            </w:r>
            <w:r w:rsidR="007C08A4" w:rsidRPr="001300B9">
              <w:rPr>
                <w:rFonts w:ascii="Source Sans Pro" w:hAnsi="Source Sans Pro"/>
                <w:sz w:val="22"/>
                <w:szCs w:val="22"/>
              </w:rPr>
              <w:t>ccepting and processing applications</w:t>
            </w:r>
            <w:r w:rsidR="00433847"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3FBFEEB1" w14:textId="108CD908" w:rsidR="001525E8" w:rsidRPr="001300B9" w:rsidRDefault="00E4548C" w:rsidP="001525E8">
            <w:pPr>
              <w:numPr>
                <w:ilvl w:val="0"/>
                <w:numId w:val="5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U</w:t>
            </w:r>
            <w:r w:rsidR="00433847" w:rsidRPr="001300B9">
              <w:rPr>
                <w:rFonts w:ascii="Source Sans Pro" w:hAnsi="Source Sans Pro"/>
                <w:sz w:val="22"/>
                <w:szCs w:val="22"/>
              </w:rPr>
              <w:t xml:space="preserve">se of résumés to establish minimum </w:t>
            </w:r>
            <w:r w:rsidR="00433847" w:rsidRPr="001300B9">
              <w:rPr>
                <w:rFonts w:ascii="Source Sans Pro" w:hAnsi="Source Sans Pro"/>
                <w:sz w:val="22"/>
                <w:szCs w:val="22"/>
              </w:rPr>
              <w:lastRenderedPageBreak/>
              <w:t>qualifications eligibility/</w:t>
            </w:r>
            <w:r w:rsidR="001525E8" w:rsidRPr="001300B9">
              <w:rPr>
                <w:rFonts w:ascii="Source Sans Pro" w:hAnsi="Source Sans Pro"/>
                <w:sz w:val="22"/>
                <w:szCs w:val="22"/>
              </w:rPr>
              <w:t>ineligibility</w:t>
            </w:r>
            <w:r w:rsidR="00BE3327" w:rsidRPr="001300B9">
              <w:rPr>
                <w:rFonts w:ascii="Source Sans Pro" w:hAnsi="Source Sans Pro"/>
                <w:sz w:val="22"/>
                <w:szCs w:val="22"/>
              </w:rPr>
              <w:t>?</w:t>
            </w:r>
          </w:p>
          <w:p w14:paraId="7FFC4392" w14:textId="3149EC30" w:rsidR="001525E8" w:rsidRPr="001300B9" w:rsidRDefault="00E4548C" w:rsidP="001525E8">
            <w:pPr>
              <w:numPr>
                <w:ilvl w:val="0"/>
                <w:numId w:val="5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S</w:t>
            </w:r>
            <w:r w:rsidR="001525E8" w:rsidRPr="001300B9">
              <w:rPr>
                <w:rFonts w:ascii="Source Sans Pro" w:hAnsi="Source Sans Pro"/>
                <w:sz w:val="22"/>
                <w:szCs w:val="22"/>
              </w:rPr>
              <w:t>tatus applicants and those who are authorized to file late</w:t>
            </w:r>
            <w:r w:rsidR="00BE3327" w:rsidRPr="001300B9">
              <w:rPr>
                <w:rFonts w:ascii="Source Sans Pro" w:hAnsi="Source Sans Pro"/>
                <w:sz w:val="22"/>
                <w:szCs w:val="22"/>
              </w:rPr>
              <w:t>?</w:t>
            </w:r>
            <w:r w:rsidR="001525E8"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2A7F17C3" w14:textId="3E24D921" w:rsidR="007C08A4" w:rsidRPr="001300B9" w:rsidRDefault="001525E8" w:rsidP="001525E8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62CC09E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21">
              <w:r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250.102</w:t>
              </w:r>
            </w:hyperlink>
            <w:r w:rsidRPr="062CC09E">
              <w:rPr>
                <w:rFonts w:ascii="Source Sans Pro" w:hAnsi="Source Sans Pro"/>
                <w:sz w:val="22"/>
                <w:szCs w:val="22"/>
              </w:rPr>
              <w:t xml:space="preserve">; IDEA]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4D6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1525E8" w:rsidRPr="001300B9" w14:paraId="07A409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A21" w14:textId="77777777" w:rsidR="001525E8" w:rsidRPr="001300B9" w:rsidRDefault="001525E8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D89" w14:textId="77777777" w:rsidR="001525E8" w:rsidRPr="001300B9" w:rsidRDefault="001525E8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D76D" w14:textId="1A17157B" w:rsidR="001525E8" w:rsidRPr="001300B9" w:rsidRDefault="00E4548C" w:rsidP="00AD4A48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 xml:space="preserve">2. </w:t>
            </w:r>
            <w:r w:rsidR="001525E8" w:rsidRPr="001300B9">
              <w:rPr>
                <w:rFonts w:ascii="Source Sans Pro" w:hAnsi="Source Sans Pro"/>
                <w:sz w:val="22"/>
                <w:szCs w:val="22"/>
              </w:rPr>
              <w:t xml:space="preserve">Develop applicant assessment procedures. </w:t>
            </w:r>
            <w:r w:rsidR="686A5FC1" w:rsidRPr="062CC09E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22">
              <w:r w:rsidR="001525E8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Part 300, subpart A</w:t>
              </w:r>
            </w:hyperlink>
            <w:r w:rsidR="2FD0CB15" w:rsidRPr="062CC09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574" w14:textId="77777777" w:rsidR="001525E8" w:rsidRPr="001300B9" w:rsidRDefault="001525E8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33847" w:rsidRPr="001300B9" w14:paraId="5D163C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3579" w14:textId="77777777" w:rsidR="00433847" w:rsidRPr="001300B9" w:rsidRDefault="00433847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FBA" w14:textId="77777777" w:rsidR="00433847" w:rsidRPr="001300B9" w:rsidRDefault="00433847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1F5" w14:textId="464E2501" w:rsidR="00433847" w:rsidRPr="001300B9" w:rsidRDefault="00E4548C" w:rsidP="0043384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3</w:t>
            </w:r>
            <w:r w:rsidR="00433847" w:rsidRPr="001300B9">
              <w:rPr>
                <w:rFonts w:ascii="Source Sans Pro" w:hAnsi="Source Sans Pro"/>
                <w:sz w:val="22"/>
                <w:szCs w:val="22"/>
              </w:rPr>
              <w:t>. Appropriate public notice and length of open periods for receipt of applications (</w:t>
            </w:r>
            <w:r w:rsidR="00BE3327" w:rsidRPr="001300B9">
              <w:rPr>
                <w:rFonts w:ascii="Source Sans Pro" w:hAnsi="Source Sans Pro"/>
                <w:sz w:val="22"/>
                <w:szCs w:val="22"/>
              </w:rPr>
              <w:t>Instructions for documenting rationale for n</w:t>
            </w:r>
            <w:r w:rsidR="00433847" w:rsidRPr="001300B9">
              <w:rPr>
                <w:rFonts w:ascii="Source Sans Pro" w:hAnsi="Source Sans Pro"/>
                <w:sz w:val="22"/>
                <w:szCs w:val="22"/>
              </w:rPr>
              <w:t>otice periods of less than 5 calendar days.)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778" w14:textId="77777777" w:rsidR="00433847" w:rsidRPr="001300B9" w:rsidRDefault="00433847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0317F" w:rsidRPr="001300B9" w14:paraId="5D0FA7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DC0D" w14:textId="77777777" w:rsidR="0040317F" w:rsidRPr="001300B9" w:rsidRDefault="0040317F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F27" w14:textId="77777777" w:rsidR="0040317F" w:rsidRPr="001300B9" w:rsidRDefault="0040317F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01C" w14:textId="2F68760B" w:rsidR="001525E8" w:rsidRPr="001300B9" w:rsidRDefault="00E4548C" w:rsidP="00AD4A48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4</w:t>
            </w:r>
            <w:r w:rsidR="001525E8" w:rsidRPr="001300B9">
              <w:rPr>
                <w:rFonts w:ascii="Source Sans Pro" w:hAnsi="Source Sans Pro"/>
                <w:sz w:val="22"/>
                <w:szCs w:val="22"/>
              </w:rPr>
              <w:t xml:space="preserve">. </w:t>
            </w:r>
            <w:r w:rsidR="0040317F" w:rsidRPr="001300B9">
              <w:rPr>
                <w:rFonts w:ascii="Source Sans Pro" w:hAnsi="Source Sans Pro"/>
                <w:sz w:val="22"/>
                <w:szCs w:val="22"/>
              </w:rPr>
              <w:t xml:space="preserve">Category rating policy that identifies the requirements </w:t>
            </w:r>
          </w:p>
          <w:p w14:paraId="02B315A8" w14:textId="27F366A4" w:rsidR="001525E8" w:rsidRPr="001300B9" w:rsidRDefault="00BE3327" w:rsidP="001525E8">
            <w:pPr>
              <w:numPr>
                <w:ilvl w:val="0"/>
                <w:numId w:val="6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 xml:space="preserve">How to </w:t>
            </w:r>
            <w:r w:rsidR="0040317F" w:rsidRPr="001300B9">
              <w:rPr>
                <w:rFonts w:ascii="Source Sans Pro" w:hAnsi="Source Sans Pro"/>
                <w:sz w:val="22"/>
                <w:szCs w:val="22"/>
              </w:rPr>
              <w:t>implement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40317F" w:rsidRPr="001300B9">
              <w:rPr>
                <w:rFonts w:ascii="Source Sans Pro" w:hAnsi="Source Sans Pro"/>
                <w:sz w:val="22"/>
                <w:szCs w:val="22"/>
              </w:rPr>
              <w:t>category rating in the agency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>?</w:t>
            </w:r>
            <w:r w:rsidR="0040317F"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3CC3DBD7" w14:textId="50AFCD1D" w:rsidR="001525E8" w:rsidRPr="001300B9" w:rsidRDefault="00BE3327" w:rsidP="001525E8">
            <w:pPr>
              <w:numPr>
                <w:ilvl w:val="0"/>
                <w:numId w:val="6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T</w:t>
            </w:r>
            <w:r w:rsidR="0040317F" w:rsidRPr="001300B9">
              <w:rPr>
                <w:rFonts w:ascii="Source Sans Pro" w:hAnsi="Source Sans Pro"/>
                <w:sz w:val="22"/>
                <w:szCs w:val="22"/>
              </w:rPr>
              <w:t>ype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>(s)</w:t>
            </w:r>
            <w:r w:rsidR="0040317F" w:rsidRPr="001300B9">
              <w:rPr>
                <w:rFonts w:ascii="Source Sans Pro" w:hAnsi="Source Sans Pro"/>
                <w:sz w:val="22"/>
                <w:szCs w:val="22"/>
              </w:rPr>
              <w:t xml:space="preserve"> of assessment tool(s) to be used to evaluate candidates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>?</w:t>
            </w:r>
          </w:p>
          <w:p w14:paraId="677A6775" w14:textId="5AC4C5EC" w:rsidR="001525E8" w:rsidRPr="001300B9" w:rsidRDefault="00BE3327" w:rsidP="001525E8">
            <w:pPr>
              <w:numPr>
                <w:ilvl w:val="0"/>
                <w:numId w:val="6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H</w:t>
            </w:r>
            <w:r w:rsidR="0040317F" w:rsidRPr="001300B9">
              <w:rPr>
                <w:rFonts w:ascii="Source Sans Pro" w:hAnsi="Source Sans Pro"/>
                <w:sz w:val="22"/>
                <w:szCs w:val="22"/>
              </w:rPr>
              <w:t>ow “well-qualified” career transition assistance eligibles will be identified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>?</w:t>
            </w:r>
          </w:p>
          <w:p w14:paraId="31D5773F" w14:textId="110044FB" w:rsidR="001525E8" w:rsidRPr="001300B9" w:rsidRDefault="00BE3327" w:rsidP="001525E8">
            <w:pPr>
              <w:numPr>
                <w:ilvl w:val="0"/>
                <w:numId w:val="6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W</w:t>
            </w:r>
            <w:r w:rsidR="0040317F" w:rsidRPr="001300B9">
              <w:rPr>
                <w:rFonts w:ascii="Source Sans Pro" w:hAnsi="Source Sans Pro"/>
                <w:sz w:val="22"/>
                <w:szCs w:val="22"/>
              </w:rPr>
              <w:t>hat circumstance the agency would refer only veterans in the highest quality category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>?</w:t>
            </w:r>
          </w:p>
          <w:p w14:paraId="3C3C52FF" w14:textId="097D7901" w:rsidR="001525E8" w:rsidRPr="001300B9" w:rsidRDefault="00BE3327" w:rsidP="001525E8">
            <w:pPr>
              <w:numPr>
                <w:ilvl w:val="0"/>
                <w:numId w:val="6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Ho</w:t>
            </w:r>
            <w:r w:rsidR="0040317F" w:rsidRPr="001300B9">
              <w:rPr>
                <w:rFonts w:ascii="Source Sans Pro" w:hAnsi="Source Sans Pro"/>
                <w:sz w:val="22"/>
                <w:szCs w:val="22"/>
              </w:rPr>
              <w:t xml:space="preserve">w to decide whether or not to merge </w:t>
            </w:r>
            <w:r w:rsidR="001525E8" w:rsidRPr="001300B9">
              <w:rPr>
                <w:rFonts w:ascii="Source Sans Pro" w:hAnsi="Source Sans Pro"/>
                <w:sz w:val="22"/>
                <w:szCs w:val="22"/>
              </w:rPr>
              <w:t>categories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>?</w:t>
            </w:r>
          </w:p>
          <w:p w14:paraId="1A07329B" w14:textId="1EA85E74" w:rsidR="0040317F" w:rsidRPr="001300B9" w:rsidRDefault="0040317F" w:rsidP="001525E8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62CC09E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23">
              <w:r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250.102</w:t>
              </w:r>
            </w:hyperlink>
            <w:r w:rsidRPr="062CC09E">
              <w:rPr>
                <w:rFonts w:ascii="Source Sans Pro" w:hAnsi="Source Sans Pro"/>
                <w:sz w:val="22"/>
                <w:szCs w:val="22"/>
              </w:rPr>
              <w:t>; IDEA]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C77" w14:textId="77777777" w:rsidR="0040317F" w:rsidRPr="001300B9" w:rsidRDefault="0040317F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C08A4" w:rsidRPr="001300B9" w14:paraId="577A6B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164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812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9635" w14:textId="26AA9836" w:rsidR="007C08A4" w:rsidRPr="001300B9" w:rsidRDefault="00E4548C" w:rsidP="00AD3F6F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5</w:t>
            </w:r>
            <w:r w:rsidR="00264934" w:rsidRPr="001300B9">
              <w:rPr>
                <w:rFonts w:ascii="Source Sans Pro" w:hAnsi="Source Sans Pro"/>
                <w:sz w:val="22"/>
                <w:szCs w:val="22"/>
              </w:rPr>
              <w:t xml:space="preserve">. </w:t>
            </w:r>
            <w:r w:rsidR="00DE63ED" w:rsidRPr="001300B9">
              <w:rPr>
                <w:rFonts w:ascii="Source Sans Pro" w:hAnsi="Source Sans Pro"/>
                <w:sz w:val="22"/>
                <w:szCs w:val="22"/>
              </w:rPr>
              <w:t>The handling of unsolicited applications from 10-</w:t>
            </w:r>
            <w:r w:rsidR="00EB2711" w:rsidRPr="001300B9">
              <w:rPr>
                <w:rFonts w:ascii="Source Sans Pro" w:hAnsi="Source Sans Pro"/>
                <w:sz w:val="22"/>
                <w:szCs w:val="22"/>
              </w:rPr>
              <w:t>point preference eligibles</w:t>
            </w:r>
            <w:r w:rsidR="0040317F" w:rsidRPr="001300B9">
              <w:rPr>
                <w:rFonts w:ascii="Source Sans Pro" w:hAnsi="Source Sans Pro"/>
                <w:sz w:val="22"/>
                <w:szCs w:val="22"/>
              </w:rPr>
              <w:t>.</w:t>
            </w:r>
            <w:r w:rsidR="00EB2711"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7770F7" w:rsidRPr="062CC09E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24">
              <w:r w:rsidR="00AF6E27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250.102</w:t>
              </w:r>
            </w:hyperlink>
            <w:r w:rsidR="00AF6E27" w:rsidRPr="062CC09E">
              <w:rPr>
                <w:rFonts w:ascii="Source Sans Pro" w:hAnsi="Source Sans Pro"/>
                <w:sz w:val="22"/>
                <w:szCs w:val="22"/>
              </w:rPr>
              <w:t>; IDEA</w:t>
            </w:r>
            <w:r w:rsidR="009E0964" w:rsidRPr="062CC09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035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C08A4" w:rsidRPr="001300B9" w14:paraId="6DC4BF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385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CCE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A1C" w14:textId="799E258F" w:rsidR="007C08A4" w:rsidRPr="001300B9" w:rsidRDefault="00E4548C" w:rsidP="00AD3F6F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62CC09E">
              <w:rPr>
                <w:rFonts w:ascii="Source Sans Pro" w:hAnsi="Source Sans Pro"/>
                <w:sz w:val="22"/>
                <w:szCs w:val="22"/>
              </w:rPr>
              <w:t>6</w:t>
            </w:r>
            <w:r w:rsidR="00264934" w:rsidRPr="062CC09E">
              <w:rPr>
                <w:rFonts w:ascii="Source Sans Pro" w:hAnsi="Source Sans Pro"/>
                <w:sz w:val="22"/>
                <w:szCs w:val="22"/>
              </w:rPr>
              <w:t xml:space="preserve">. </w:t>
            </w:r>
            <w:r w:rsidR="00EB2711" w:rsidRPr="062CC09E">
              <w:rPr>
                <w:rFonts w:ascii="Source Sans Pro" w:hAnsi="Source Sans Pro"/>
                <w:sz w:val="22"/>
                <w:szCs w:val="22"/>
              </w:rPr>
              <w:t>Reconsideration of examining decisions</w:t>
            </w:r>
            <w:r w:rsidR="0040317F" w:rsidRPr="062CC09E">
              <w:rPr>
                <w:rFonts w:ascii="Source Sans Pro" w:hAnsi="Source Sans Pro"/>
                <w:sz w:val="22"/>
                <w:szCs w:val="22"/>
              </w:rPr>
              <w:t>.</w:t>
            </w:r>
            <w:r w:rsidR="009E0964" w:rsidRPr="062CC09E">
              <w:rPr>
                <w:rFonts w:ascii="Source Sans Pro" w:hAnsi="Source Sans Pro"/>
                <w:sz w:val="22"/>
                <w:szCs w:val="22"/>
              </w:rPr>
              <w:t xml:space="preserve"> [</w:t>
            </w:r>
            <w:hyperlink r:id="rId25" w:anchor="p-300.102(d)">
              <w:r w:rsidR="009E0964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300.102(d)</w:t>
              </w:r>
            </w:hyperlink>
            <w:r w:rsidR="00F77A1A" w:rsidRPr="062CC09E">
              <w:rPr>
                <w:rFonts w:ascii="Source Sans Pro" w:hAnsi="Source Sans Pro"/>
                <w:sz w:val="22"/>
                <w:szCs w:val="22"/>
              </w:rPr>
              <w:t xml:space="preserve">; </w:t>
            </w:r>
            <w:hyperlink r:id="rId26">
              <w:r w:rsidR="00AF6E27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250.102</w:t>
              </w:r>
            </w:hyperlink>
            <w:r w:rsidR="00AF6E27" w:rsidRPr="062CC09E">
              <w:rPr>
                <w:rFonts w:ascii="Source Sans Pro" w:hAnsi="Source Sans Pro"/>
                <w:sz w:val="22"/>
                <w:szCs w:val="22"/>
              </w:rPr>
              <w:t>; IDEA</w:t>
            </w:r>
            <w:r w:rsidR="009E0964" w:rsidRPr="062CC09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4C1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C08A4" w:rsidRPr="001300B9" w14:paraId="53C564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EE64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BFB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FB3A" w14:textId="4313C5E7" w:rsidR="007C08A4" w:rsidRPr="001300B9" w:rsidRDefault="00E4548C" w:rsidP="003506C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7</w:t>
            </w:r>
            <w:r w:rsidR="00264934" w:rsidRPr="001300B9">
              <w:rPr>
                <w:rFonts w:ascii="Source Sans Pro" w:hAnsi="Source Sans Pro"/>
                <w:sz w:val="22"/>
                <w:szCs w:val="22"/>
              </w:rPr>
              <w:t xml:space="preserve">. </w:t>
            </w:r>
            <w:r w:rsidR="003506C5" w:rsidRPr="001300B9">
              <w:rPr>
                <w:rFonts w:ascii="Source Sans Pro" w:hAnsi="Source Sans Pro"/>
                <w:sz w:val="22"/>
                <w:szCs w:val="22"/>
              </w:rPr>
              <w:t xml:space="preserve">Notifying the supervisor in writing when </w:t>
            </w:r>
            <w:r w:rsidR="00EB2711" w:rsidRPr="001300B9">
              <w:rPr>
                <w:rFonts w:ascii="Source Sans Pro" w:hAnsi="Source Sans Pro"/>
                <w:sz w:val="22"/>
                <w:szCs w:val="22"/>
              </w:rPr>
              <w:t>staff involved in DE activities intend to apply for a position covered by the IDEA which is handled by the DEU where they work</w:t>
            </w:r>
            <w:r w:rsidR="003506C5" w:rsidRPr="001300B9">
              <w:rPr>
                <w:rFonts w:ascii="Source Sans Pro" w:hAnsi="Source Sans Pro"/>
                <w:sz w:val="22"/>
                <w:szCs w:val="22"/>
              </w:rPr>
              <w:t xml:space="preserve"> and similar notification if they know a relative or member of their household intends to apply</w:t>
            </w:r>
            <w:r w:rsidR="00AB019B"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CD4083" w:rsidRPr="062CC09E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27">
              <w:r w:rsidR="00AF6E27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250.102</w:t>
              </w:r>
            </w:hyperlink>
            <w:r w:rsidR="00AF6E27" w:rsidRPr="062CC09E">
              <w:rPr>
                <w:rFonts w:ascii="Source Sans Pro" w:hAnsi="Source Sans Pro"/>
                <w:sz w:val="22"/>
                <w:szCs w:val="22"/>
              </w:rPr>
              <w:t>; IDEA</w:t>
            </w:r>
            <w:r w:rsidR="00CD4083" w:rsidRPr="062CC09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167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C08A4" w:rsidRPr="001300B9" w14:paraId="13138F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6E1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96E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5D2" w14:textId="689BF892" w:rsidR="007C08A4" w:rsidRPr="001300B9" w:rsidRDefault="00E4548C" w:rsidP="00AD3F6F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8</w:t>
            </w:r>
            <w:r w:rsidR="00264934" w:rsidRPr="001300B9">
              <w:rPr>
                <w:rFonts w:ascii="Source Sans Pro" w:hAnsi="Source Sans Pro"/>
                <w:sz w:val="22"/>
                <w:szCs w:val="22"/>
              </w:rPr>
              <w:t xml:space="preserve">. </w:t>
            </w:r>
            <w:r w:rsidR="003506C5" w:rsidRPr="001300B9">
              <w:rPr>
                <w:rFonts w:ascii="Source Sans Pro" w:hAnsi="Source Sans Pro"/>
                <w:sz w:val="22"/>
                <w:szCs w:val="22"/>
              </w:rPr>
              <w:t>The handling of pass overs of preference eligibles and objections to eligibles listed on certificates of eligibles</w:t>
            </w:r>
            <w:r w:rsidR="008C3F62"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CD4083" w:rsidRPr="062CC09E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28">
              <w:r w:rsidR="00AF6E27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250.102</w:t>
              </w:r>
            </w:hyperlink>
            <w:r w:rsidR="00AF6E27" w:rsidRPr="062CC09E">
              <w:rPr>
                <w:rFonts w:ascii="Source Sans Pro" w:hAnsi="Source Sans Pro"/>
                <w:sz w:val="22"/>
                <w:szCs w:val="22"/>
              </w:rPr>
              <w:t>; IDEA</w:t>
            </w:r>
            <w:r w:rsidR="00AB019B" w:rsidRPr="062CC09E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505B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F72A3" w:rsidRPr="001300B9" w14:paraId="4634F875" w14:textId="77777777" w:rsidTr="00A23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02280BBF" w14:textId="77777777" w:rsidR="008F72A3" w:rsidRPr="00630D54" w:rsidRDefault="008F72A3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630D54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557530F" w14:textId="77777777" w:rsidR="008F72A3" w:rsidRPr="00630D54" w:rsidRDefault="008F72A3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630D54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121A5AE5" w14:textId="46F7A280" w:rsidR="008F72A3" w:rsidRPr="00630D54" w:rsidRDefault="008F72A3" w:rsidP="004750CB">
            <w:pPr>
              <w:spacing w:before="20" w:after="20"/>
              <w:rPr>
                <w:rFonts w:ascii="Source Sans Pro" w:hAnsi="Source Sans Pro"/>
                <w:color w:val="FBFBFB"/>
                <w:sz w:val="22"/>
                <w:szCs w:val="22"/>
              </w:rPr>
            </w:pPr>
            <w:r w:rsidRPr="00630D54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R</w:t>
            </w:r>
            <w:r w:rsidR="004750CB" w:rsidRPr="00630D54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 xml:space="preserve">eview </w:t>
            </w:r>
            <w:r w:rsidRPr="00630D54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I</w:t>
            </w:r>
            <w:r w:rsidR="004750CB" w:rsidRPr="00630D54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181DB1A6" w14:textId="0C73B1E0" w:rsidR="008F72A3" w:rsidRPr="00630D54" w:rsidRDefault="008F72A3" w:rsidP="004750CB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630D54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C</w:t>
            </w:r>
            <w:r w:rsidR="004750CB" w:rsidRPr="00630D54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omments</w:t>
            </w:r>
          </w:p>
        </w:tc>
      </w:tr>
      <w:tr w:rsidR="007C08A4" w:rsidRPr="001300B9" w14:paraId="76E2DF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175" w14:textId="77777777" w:rsidR="007C08A4" w:rsidRPr="001300B9" w:rsidRDefault="007C08A4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FA8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0274" w14:textId="77777777" w:rsidR="008F72A3" w:rsidRPr="001300B9" w:rsidRDefault="008F72A3" w:rsidP="008F72A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Agency refers the following objection and pass over requests to OPM:</w:t>
            </w:r>
          </w:p>
          <w:p w14:paraId="0310F3A0" w14:textId="5FAFAF34" w:rsidR="00163E88" w:rsidRPr="001300B9" w:rsidRDefault="00F8399A" w:rsidP="00163E88">
            <w:pPr>
              <w:numPr>
                <w:ilvl w:val="0"/>
                <w:numId w:val="4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62CC09E">
              <w:rPr>
                <w:rFonts w:ascii="Source Sans Pro" w:hAnsi="Source Sans Pro"/>
                <w:sz w:val="22"/>
                <w:szCs w:val="22"/>
              </w:rPr>
              <w:t>M</w:t>
            </w:r>
            <w:r w:rsidR="00163E88" w:rsidRPr="062CC09E">
              <w:rPr>
                <w:rFonts w:ascii="Source Sans Pro" w:hAnsi="Source Sans Pro"/>
                <w:sz w:val="22"/>
                <w:szCs w:val="22"/>
              </w:rPr>
              <w:t xml:space="preserve">edical qualification determinations pertaining to preference eligibles </w:t>
            </w:r>
            <w:r w:rsidR="64257B5A" w:rsidRPr="062CC09E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29">
              <w:r w:rsidR="00163E88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339.306</w:t>
              </w:r>
              <w:r w:rsidR="7C723940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]</w:t>
              </w:r>
            </w:hyperlink>
            <w:r w:rsidR="00163E88" w:rsidRPr="062CC09E">
              <w:rPr>
                <w:rFonts w:ascii="Source Sans Pro" w:hAnsi="Source Sans Pro"/>
                <w:sz w:val="22"/>
                <w:szCs w:val="22"/>
              </w:rPr>
              <w:t xml:space="preserve">, </w:t>
            </w:r>
          </w:p>
          <w:p w14:paraId="6C507E11" w14:textId="77777777" w:rsidR="00163E88" w:rsidRPr="001300B9" w:rsidRDefault="00163E88" w:rsidP="00163E88">
            <w:pPr>
              <w:numPr>
                <w:ilvl w:val="0"/>
                <w:numId w:val="4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62CC09E">
              <w:rPr>
                <w:rFonts w:ascii="Source Sans Pro" w:hAnsi="Source Sans Pro"/>
                <w:sz w:val="22"/>
                <w:szCs w:val="22"/>
              </w:rPr>
              <w:t xml:space="preserve">Review of a proposed disqualification of a 30 percent or more compensably disabled veteran </w:t>
            </w:r>
            <w:r w:rsidRPr="062CC09E">
              <w:rPr>
                <w:rFonts w:ascii="Source Sans Pro" w:hAnsi="Source Sans Pro"/>
                <w:sz w:val="22"/>
                <w:szCs w:val="22"/>
              </w:rPr>
              <w:lastRenderedPageBreak/>
              <w:t xml:space="preserve">on the basis of physical disability under </w:t>
            </w:r>
            <w:hyperlink r:id="rId30">
              <w:r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U.S.C. § 3312(b)</w:t>
              </w:r>
            </w:hyperlink>
            <w:r w:rsidRPr="062CC09E">
              <w:rPr>
                <w:rFonts w:ascii="Source Sans Pro" w:hAnsi="Source Sans Pro"/>
                <w:sz w:val="22"/>
                <w:szCs w:val="22"/>
              </w:rPr>
              <w:t xml:space="preserve">. </w:t>
            </w:r>
          </w:p>
          <w:p w14:paraId="63A976E7" w14:textId="7C157F30" w:rsidR="00163E88" w:rsidRPr="001300B9" w:rsidRDefault="00E4548C" w:rsidP="00163E88">
            <w:pPr>
              <w:numPr>
                <w:ilvl w:val="0"/>
                <w:numId w:val="4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 xml:space="preserve">Review </w:t>
            </w:r>
            <w:r w:rsidR="00163E88" w:rsidRPr="001300B9">
              <w:rPr>
                <w:rFonts w:ascii="Source Sans Pro" w:hAnsi="Source Sans Pro"/>
                <w:sz w:val="22"/>
                <w:szCs w:val="22"/>
              </w:rPr>
              <w:t xml:space="preserve">suitability determinations and take suitability actions involving material, intentional false statement or deception or fraud in examination or appointment, or refusal to furnish testimony as required by </w:t>
            </w:r>
            <w:hyperlink r:id="rId31" w:history="1">
              <w:r w:rsidR="00163E88" w:rsidRPr="004477CA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5.4</w:t>
              </w:r>
            </w:hyperlink>
            <w:r w:rsidR="00163E88"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63E88" w:rsidRPr="062CC09E">
              <w:rPr>
                <w:rFonts w:ascii="Source Sans Pro" w:hAnsi="Source Sans Pro"/>
                <w:sz w:val="22"/>
                <w:szCs w:val="22"/>
              </w:rPr>
              <w:t>(</w:t>
            </w:r>
            <w:hyperlink r:id="rId32">
              <w:r w:rsidR="00163E88" w:rsidRPr="062CC09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731.103(a)</w:t>
              </w:r>
            </w:hyperlink>
            <w:r w:rsidR="00163E88" w:rsidRPr="062CC09E">
              <w:rPr>
                <w:rFonts w:ascii="Source Sans Pro" w:hAnsi="Source Sans Pro"/>
                <w:sz w:val="22"/>
                <w:szCs w:val="22"/>
              </w:rPr>
              <w:t>).</w:t>
            </w:r>
            <w:r w:rsidR="00163E88"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69FBE79B" w14:textId="6E0C7C0A" w:rsidR="00F8399A" w:rsidRPr="001300B9" w:rsidRDefault="00F8399A" w:rsidP="00163E88">
            <w:pPr>
              <w:numPr>
                <w:ilvl w:val="0"/>
                <w:numId w:val="4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P</w:t>
            </w:r>
            <w:r w:rsidR="00163E88" w:rsidRPr="001300B9">
              <w:rPr>
                <w:rFonts w:ascii="Source Sans Pro" w:hAnsi="Source Sans Pro"/>
                <w:sz w:val="22"/>
                <w:szCs w:val="22"/>
              </w:rPr>
              <w:t>reference eligible with a compensable service-connected disability of 30 percent or more (</w:t>
            </w:r>
            <w:hyperlink r:id="rId33" w:history="1">
              <w:r w:rsidR="00163E88" w:rsidRPr="009726F7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U.S.C. § 3318</w:t>
              </w:r>
            </w:hyperlink>
            <w:r w:rsidR="00163E88" w:rsidRPr="001300B9">
              <w:rPr>
                <w:rFonts w:ascii="Source Sans Pro" w:hAnsi="Source Sans Pro"/>
                <w:sz w:val="22"/>
                <w:szCs w:val="22"/>
              </w:rPr>
              <w:t>)</w:t>
            </w:r>
            <w:r w:rsidR="00163E88" w:rsidRPr="001300B9" w:rsidDel="00163E88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079EA0E3" w14:textId="4F24A2DE" w:rsidR="007C08A4" w:rsidRPr="001300B9" w:rsidRDefault="00F8399A" w:rsidP="0029145D">
            <w:pPr>
              <w:numPr>
                <w:ilvl w:val="0"/>
                <w:numId w:val="4"/>
              </w:num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Spousal derived veterans' preference claims where the claim for preference is based on a claim of common law marriage (</w:t>
            </w:r>
            <w:hyperlink r:id="rId34" w:history="1">
              <w:r w:rsidRPr="006C05F9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U.S.C. § 2108(3)(D), (E);</w:t>
              </w:r>
            </w:hyperlink>
            <w:r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hyperlink r:id="rId35" w:history="1">
              <w:r w:rsidRPr="00122BA9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211.103</w:t>
              </w:r>
            </w:hyperlink>
            <w:r w:rsidRPr="001300B9">
              <w:rPr>
                <w:rFonts w:ascii="Source Sans Pro" w:hAnsi="Source Sans Pro"/>
                <w:sz w:val="22"/>
                <w:szCs w:val="22"/>
              </w:rPr>
              <w:t>).</w:t>
            </w:r>
            <w:r w:rsidRPr="001300B9" w:rsidDel="00163E88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D39" w14:textId="77777777" w:rsidR="007C08A4" w:rsidRPr="001300B9" w:rsidRDefault="007C08A4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6063FCB7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F72A3" w:rsidRPr="001300B9" w14:paraId="4A9B4C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E2E" w14:textId="77777777" w:rsidR="008F72A3" w:rsidRPr="001300B9" w:rsidRDefault="008F72A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DBA" w14:textId="77777777" w:rsidR="008F72A3" w:rsidRPr="001300B9" w:rsidRDefault="008F72A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3B8" w14:textId="5DC1BFA5" w:rsidR="008F72A3" w:rsidRPr="001300B9" w:rsidRDefault="008F72A3" w:rsidP="006A00A8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Recruitment activities yield a balanced pool of quality applicants, i.e., recruitment program ensures equal employment opportunities without discrimination</w:t>
            </w:r>
            <w:r w:rsidR="0029145D" w:rsidRPr="001300B9">
              <w:rPr>
                <w:rFonts w:ascii="Source Sans Pro" w:hAnsi="Source Sans Pro"/>
                <w:sz w:val="22"/>
                <w:szCs w:val="22"/>
              </w:rPr>
              <w:t>.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 xml:space="preserve"> [</w:t>
            </w:r>
            <w:hyperlink r:id="rId36" w:history="1">
              <w:r w:rsidRPr="005151EE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720.204</w:t>
              </w:r>
            </w:hyperlink>
            <w:r w:rsidRPr="001300B9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860" w14:textId="77777777" w:rsidR="008F72A3" w:rsidRPr="001300B9" w:rsidRDefault="008F72A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C08A4" w:rsidRPr="001300B9" w14:paraId="47194F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F79" w14:textId="77777777" w:rsidR="007C08A4" w:rsidRPr="001300B9" w:rsidRDefault="007C08A4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90D3" w14:textId="77777777" w:rsidR="007C08A4" w:rsidRPr="001300B9" w:rsidRDefault="007C08A4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3885964A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217" w14:textId="6DBD349F" w:rsidR="007C08A4" w:rsidRPr="001300B9" w:rsidRDefault="007C08A4" w:rsidP="00F77A1A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 xml:space="preserve">Recruitment activities produce sufficient numbers of </w:t>
            </w:r>
            <w:r w:rsidR="00433847" w:rsidRPr="001300B9">
              <w:rPr>
                <w:rFonts w:ascii="Source Sans Pro" w:hAnsi="Source Sans Pro"/>
                <w:sz w:val="22"/>
                <w:szCs w:val="22"/>
              </w:rPr>
              <w:t>well-qualified candidates for consideration</w:t>
            </w:r>
            <w:r w:rsidR="00433847" w:rsidRPr="001300B9" w:rsidDel="0043384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207312" w:rsidRPr="001300B9">
              <w:rPr>
                <w:rFonts w:ascii="Source Sans Pro" w:hAnsi="Source Sans Pro"/>
                <w:sz w:val="22"/>
                <w:szCs w:val="22"/>
              </w:rPr>
              <w:t>[</w:t>
            </w:r>
            <w:r w:rsidR="00433847" w:rsidRPr="001300B9">
              <w:rPr>
                <w:rFonts w:ascii="Source Sans Pro" w:hAnsi="Source Sans Pro"/>
                <w:sz w:val="22"/>
                <w:szCs w:val="22"/>
              </w:rPr>
              <w:t xml:space="preserve">IDEA; </w:t>
            </w:r>
            <w:hyperlink r:id="rId37" w:history="1">
              <w:r w:rsidR="00207312" w:rsidRPr="00183825">
                <w:rPr>
                  <w:rStyle w:val="Hyperlink"/>
                  <w:rFonts w:ascii="Source Sans Pro" w:hAnsi="Source Sans Pro"/>
                  <w:sz w:val="22"/>
                  <w:szCs w:val="22"/>
                </w:rPr>
                <w:t>DEOH 3-A</w:t>
              </w:r>
            </w:hyperlink>
            <w:r w:rsidR="00207312" w:rsidRPr="001300B9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E685" w14:textId="77777777" w:rsidR="007C08A4" w:rsidRPr="001300B9" w:rsidRDefault="007C08A4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7D447A6B" w14:textId="77777777" w:rsidR="007C08A4" w:rsidRPr="001300B9" w:rsidRDefault="007C08A4">
            <w:pPr>
              <w:spacing w:before="20" w:after="2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33DC9" w:rsidRPr="001300B9" w14:paraId="128A57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D4F" w14:textId="77777777" w:rsidR="00F33DC9" w:rsidRPr="001300B9" w:rsidRDefault="00F33DC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648" w14:textId="77777777" w:rsidR="00F33DC9" w:rsidRPr="001300B9" w:rsidRDefault="00F33DC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60A" w14:textId="3369C056" w:rsidR="00F33DC9" w:rsidRPr="001300B9" w:rsidRDefault="00F33DC9" w:rsidP="00AC797C">
            <w:pPr>
              <w:pageBreakBefore/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Procedures established for releasing information under the Freedom of Information and Privacy Acts protect individual privacy</w:t>
            </w:r>
            <w:r w:rsidR="0029145D" w:rsidRPr="001300B9">
              <w:rPr>
                <w:rFonts w:ascii="Source Sans Pro" w:hAnsi="Source Sans Pro"/>
                <w:sz w:val="22"/>
                <w:szCs w:val="22"/>
              </w:rPr>
              <w:t>.</w:t>
            </w:r>
            <w:r w:rsidR="00AB019B" w:rsidRPr="001300B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38" w:history="1">
              <w:r w:rsidRPr="00183825">
                <w:rPr>
                  <w:rStyle w:val="Hyperlink"/>
                  <w:rFonts w:ascii="Source Sans Pro" w:hAnsi="Source Sans Pro"/>
                  <w:sz w:val="22"/>
                  <w:szCs w:val="22"/>
                </w:rPr>
                <w:t>DEOH 7-B</w:t>
              </w:r>
            </w:hyperlink>
            <w:r w:rsidRPr="001300B9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E54" w14:textId="77777777" w:rsidR="00F33DC9" w:rsidRPr="001300B9" w:rsidRDefault="00F33DC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33DC9" w:rsidRPr="001300B9" w14:paraId="7D392E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887" w14:textId="77777777" w:rsidR="00F33DC9" w:rsidRPr="001300B9" w:rsidRDefault="00F33DC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6D0" w14:textId="77777777" w:rsidR="00F33DC9" w:rsidRPr="001300B9" w:rsidRDefault="00F33DC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27E" w14:textId="6B04F13F" w:rsidR="008F72A3" w:rsidRPr="001300B9" w:rsidRDefault="00F33DC9" w:rsidP="00AC797C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Records retention/disposal practices meet requirements [</w:t>
            </w:r>
            <w:hyperlink r:id="rId39" w:history="1">
              <w:r w:rsidRPr="00183825">
                <w:rPr>
                  <w:rStyle w:val="Hyperlink"/>
                  <w:rFonts w:ascii="Source Sans Pro" w:hAnsi="Source Sans Pro"/>
                  <w:sz w:val="22"/>
                  <w:szCs w:val="22"/>
                </w:rPr>
                <w:t>DEOH Appendix C</w:t>
              </w:r>
            </w:hyperlink>
            <w:r w:rsidRPr="001300B9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08F" w14:textId="77777777" w:rsidR="00F33DC9" w:rsidRPr="001300B9" w:rsidRDefault="00F33DC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33DC9" w:rsidRPr="001300B9" w14:paraId="6F7BE7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2DF" w14:textId="77777777" w:rsidR="00F33DC9" w:rsidRPr="001300B9" w:rsidRDefault="00F33DC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6B0" w14:textId="77777777" w:rsidR="00F33DC9" w:rsidRPr="001300B9" w:rsidRDefault="00F33DC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8EB" w14:textId="52513FF4" w:rsidR="008F72A3" w:rsidRPr="001300B9" w:rsidRDefault="00F33DC9" w:rsidP="00AB019B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Security of examining files and records is proper [</w:t>
            </w:r>
            <w:hyperlink r:id="rId40" w:history="1">
              <w:r w:rsidRPr="00183825">
                <w:rPr>
                  <w:rStyle w:val="Hyperlink"/>
                  <w:rFonts w:ascii="Source Sans Pro" w:hAnsi="Source Sans Pro"/>
                  <w:sz w:val="22"/>
                  <w:szCs w:val="22"/>
                </w:rPr>
                <w:t>DEOH 7-A</w:t>
              </w:r>
            </w:hyperlink>
            <w:r w:rsidRPr="001300B9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DAAD" w14:textId="77777777" w:rsidR="00F33DC9" w:rsidRPr="001300B9" w:rsidRDefault="00F33DC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33DC9" w:rsidRPr="001300B9" w14:paraId="36A115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77B" w14:textId="77777777" w:rsidR="00F33DC9" w:rsidRPr="001300B9" w:rsidRDefault="00F33DC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3264" w14:textId="77777777" w:rsidR="00F33DC9" w:rsidRPr="001300B9" w:rsidRDefault="00F33DC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1826" w14:textId="23CFCC33" w:rsidR="00AB019B" w:rsidRPr="001300B9" w:rsidRDefault="00F33DC9" w:rsidP="00AC797C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>Test Security Control Officer(s) and Test Administrator(s) have been trained and certified by OPM and have signed a test se</w:t>
            </w:r>
            <w:r w:rsidR="00E07252" w:rsidRPr="001300B9">
              <w:rPr>
                <w:rFonts w:ascii="Source Sans Pro" w:hAnsi="Source Sans Pro"/>
                <w:sz w:val="22"/>
                <w:szCs w:val="22"/>
              </w:rPr>
              <w:t xml:space="preserve">curity agreement, if applicable </w:t>
            </w:r>
          </w:p>
          <w:p w14:paraId="66C019E8" w14:textId="05588541" w:rsidR="00F33DC9" w:rsidRPr="001300B9" w:rsidRDefault="00F33DC9" w:rsidP="00AC797C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sz w:val="22"/>
                <w:szCs w:val="22"/>
              </w:rPr>
              <w:t xml:space="preserve"> [</w:t>
            </w:r>
            <w:hyperlink r:id="rId41" w:history="1">
              <w:r w:rsidRPr="00183825">
                <w:rPr>
                  <w:rStyle w:val="Hyperlink"/>
                  <w:rFonts w:ascii="Source Sans Pro" w:hAnsi="Source Sans Pro"/>
                  <w:sz w:val="22"/>
                  <w:szCs w:val="22"/>
                </w:rPr>
                <w:t>DEOH Appendix E</w:t>
              </w:r>
            </w:hyperlink>
            <w:r w:rsidRPr="001300B9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AA5" w14:textId="77777777" w:rsidR="00F33DC9" w:rsidRPr="001300B9" w:rsidRDefault="00F33DC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0F8C" w:rsidRPr="001300B9" w14:paraId="150FAB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F4E1" w14:textId="7557DDE7" w:rsidR="008C0F8C" w:rsidRPr="001300B9" w:rsidRDefault="001300B9" w:rsidP="00163E88">
            <w:pPr>
              <w:pStyle w:val="Heading2"/>
              <w:rPr>
                <w:rFonts w:ascii="Source Sans Pro" w:hAnsi="Source Sans Pro"/>
                <w:szCs w:val="22"/>
              </w:rPr>
            </w:pPr>
            <w:bookmarkStart w:id="1" w:name="_Other_Comments:"/>
            <w:bookmarkEnd w:id="1"/>
            <w:r w:rsidRPr="001300B9">
              <w:rPr>
                <w:rFonts w:ascii="Source Sans Pro" w:hAnsi="Source Sans Pro"/>
                <w:szCs w:val="22"/>
              </w:rPr>
              <w:t>Case File Summary/Comments</w:t>
            </w:r>
            <w:r w:rsidR="008C0F8C" w:rsidRPr="001300B9">
              <w:rPr>
                <w:rFonts w:ascii="Source Sans Pro" w:hAnsi="Source Sans Pro"/>
                <w:szCs w:val="22"/>
              </w:rPr>
              <w:t>:</w:t>
            </w:r>
          </w:p>
          <w:p w14:paraId="31AE52E0" w14:textId="77777777" w:rsidR="008C0F8C" w:rsidRPr="001300B9" w:rsidRDefault="008C0F8C" w:rsidP="00AE3E7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07AE2DE0" w14:textId="77777777" w:rsidR="008C0F8C" w:rsidRPr="001300B9" w:rsidRDefault="008C0F8C" w:rsidP="00AE3E79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  <w:p w14:paraId="6C265173" w14:textId="77777777" w:rsidR="008C0F8C" w:rsidRPr="001300B9" w:rsidRDefault="008C0F8C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20827BDF" w14:textId="77777777" w:rsidR="002259E7" w:rsidRPr="001300B9" w:rsidRDefault="002259E7" w:rsidP="008260C3">
      <w:pPr>
        <w:rPr>
          <w:rFonts w:ascii="Source Sans Pro" w:hAnsi="Source Sans Pro"/>
          <w:sz w:val="22"/>
          <w:szCs w:val="22"/>
        </w:rPr>
      </w:pPr>
    </w:p>
    <w:tbl>
      <w:tblPr>
        <w:tblW w:w="0" w:type="auto"/>
        <w:tblInd w:w="-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5"/>
        <w:gridCol w:w="3535"/>
      </w:tblGrid>
      <w:tr w:rsidR="002259E7" w:rsidRPr="001300B9" w14:paraId="76D95084" w14:textId="77777777">
        <w:tc>
          <w:tcPr>
            <w:tcW w:w="6725" w:type="dxa"/>
            <w:tcBorders>
              <w:top w:val="nil"/>
              <w:bottom w:val="nil"/>
              <w:right w:val="nil"/>
            </w:tcBorders>
          </w:tcPr>
          <w:p w14:paraId="48D6E89C" w14:textId="7AED39B5" w:rsidR="002259E7" w:rsidRPr="001300B9" w:rsidRDefault="002259E7">
            <w:pPr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b/>
                <w:sz w:val="22"/>
                <w:szCs w:val="22"/>
              </w:rPr>
              <w:t>Reviewer/Title: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>______________________________________</w:t>
            </w:r>
          </w:p>
        </w:tc>
        <w:tc>
          <w:tcPr>
            <w:tcW w:w="3535" w:type="dxa"/>
            <w:tcBorders>
              <w:left w:val="nil"/>
              <w:bottom w:val="nil"/>
            </w:tcBorders>
          </w:tcPr>
          <w:p w14:paraId="4D05E970" w14:textId="58EBCDDF" w:rsidR="002259E7" w:rsidRPr="001300B9" w:rsidRDefault="002259E7">
            <w:pPr>
              <w:rPr>
                <w:rFonts w:ascii="Source Sans Pro" w:hAnsi="Source Sans Pro"/>
                <w:sz w:val="22"/>
                <w:szCs w:val="22"/>
              </w:rPr>
            </w:pPr>
            <w:r w:rsidRPr="001300B9">
              <w:rPr>
                <w:rFonts w:ascii="Source Sans Pro" w:hAnsi="Source Sans Pro"/>
                <w:b/>
                <w:bCs/>
                <w:sz w:val="22"/>
                <w:szCs w:val="22"/>
              </w:rPr>
              <w:t>Date</w:t>
            </w:r>
            <w:r w:rsidRPr="001300B9">
              <w:rPr>
                <w:rFonts w:ascii="Source Sans Pro" w:hAnsi="Source Sans Pro"/>
                <w:sz w:val="22"/>
                <w:szCs w:val="22"/>
              </w:rPr>
              <w:t>:</w:t>
            </w:r>
            <w:r w:rsidRPr="001300B9">
              <w:rPr>
                <w:rFonts w:ascii="Source Sans Pro" w:hAnsi="Source Sans Pro"/>
                <w:b/>
                <w:sz w:val="22"/>
                <w:szCs w:val="22"/>
              </w:rPr>
              <w:t>___________________</w:t>
            </w:r>
          </w:p>
        </w:tc>
      </w:tr>
    </w:tbl>
    <w:p w14:paraId="09F2C833" w14:textId="77777777" w:rsidR="002259E7" w:rsidRPr="000B162D" w:rsidRDefault="002259E7">
      <w:pPr>
        <w:rPr>
          <w:rFonts w:ascii="Source Sans Pro" w:hAnsi="Source Sans Pro"/>
          <w:sz w:val="22"/>
          <w:szCs w:val="22"/>
        </w:rPr>
      </w:pPr>
    </w:p>
    <w:sectPr w:rsidR="002259E7" w:rsidRPr="000B162D">
      <w:headerReference w:type="default" r:id="rId42"/>
      <w:footerReference w:type="default" r:id="rId43"/>
      <w:endnotePr>
        <w:numFmt w:val="decimal"/>
      </w:endnotePr>
      <w:pgSz w:w="12240" w:h="15840"/>
      <w:pgMar w:top="1152" w:right="1152" w:bottom="1152" w:left="1152" w:header="576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F035D" w14:textId="77777777" w:rsidR="00733876" w:rsidRDefault="00733876">
      <w:r>
        <w:separator/>
      </w:r>
    </w:p>
  </w:endnote>
  <w:endnote w:type="continuationSeparator" w:id="0">
    <w:p w14:paraId="479A9782" w14:textId="77777777" w:rsidR="00733876" w:rsidRDefault="00733876">
      <w:r>
        <w:continuationSeparator/>
      </w:r>
    </w:p>
  </w:endnote>
  <w:endnote w:type="continuationNotice" w:id="1">
    <w:p w14:paraId="46FCBA31" w14:textId="77777777" w:rsidR="00733876" w:rsidRDefault="00733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8"/>
      <w:gridCol w:w="5945"/>
      <w:gridCol w:w="3384"/>
    </w:tblGrid>
    <w:tr w:rsidR="00636DEE" w14:paraId="2EABA5C5" w14:textId="77777777">
      <w:tc>
        <w:tcPr>
          <w:tcW w:w="828" w:type="dxa"/>
        </w:tcPr>
        <w:p w14:paraId="506CA5B4" w14:textId="72C8CB4F" w:rsidR="00636DEE" w:rsidRDefault="00636DEE">
          <w:pPr>
            <w:pStyle w:val="Header"/>
            <w:tabs>
              <w:tab w:val="clear" w:pos="4320"/>
              <w:tab w:val="clear" w:pos="8640"/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rPr>
              <w:rFonts w:ascii="Tahoma" w:hAnsi="Tahoma"/>
              <w:sz w:val="18"/>
            </w:rPr>
          </w:pPr>
        </w:p>
      </w:tc>
      <w:tc>
        <w:tcPr>
          <w:tcW w:w="5945" w:type="dxa"/>
        </w:tcPr>
        <w:p w14:paraId="731DC5A7" w14:textId="77777777" w:rsidR="00636DEE" w:rsidRDefault="00636DEE">
          <w:pPr>
            <w:tabs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rPr>
              <w:rFonts w:ascii="Arial" w:hAnsi="Arial"/>
              <w:sz w:val="16"/>
            </w:rPr>
          </w:pPr>
        </w:p>
        <w:p w14:paraId="70520A31" w14:textId="400ECABC" w:rsidR="00636DEE" w:rsidRDefault="00636DEE" w:rsidP="00BE48D1">
          <w:pPr>
            <w:tabs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rPr>
              <w:rFonts w:ascii="Tahoma" w:hAnsi="Tahoma"/>
              <w:sz w:val="18"/>
            </w:rPr>
          </w:pPr>
        </w:p>
      </w:tc>
      <w:tc>
        <w:tcPr>
          <w:tcW w:w="3384" w:type="dxa"/>
        </w:tcPr>
        <w:p w14:paraId="165DFC7B" w14:textId="2130513C" w:rsidR="00636DEE" w:rsidRDefault="00636DEE">
          <w:pPr>
            <w:tabs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jc w:val="right"/>
            <w:rPr>
              <w:rFonts w:ascii="Tahoma" w:hAnsi="Tahoma"/>
              <w:sz w:val="18"/>
            </w:rPr>
          </w:pPr>
        </w:p>
      </w:tc>
    </w:tr>
  </w:tbl>
  <w:p w14:paraId="0A033B0E" w14:textId="77777777" w:rsidR="00636DEE" w:rsidRDefault="00636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82F0E" w14:textId="77777777" w:rsidR="00733876" w:rsidRDefault="00733876">
      <w:r>
        <w:separator/>
      </w:r>
    </w:p>
  </w:footnote>
  <w:footnote w:type="continuationSeparator" w:id="0">
    <w:p w14:paraId="6FE35350" w14:textId="77777777" w:rsidR="00733876" w:rsidRDefault="00733876">
      <w:r>
        <w:continuationSeparator/>
      </w:r>
    </w:p>
  </w:footnote>
  <w:footnote w:type="continuationNotice" w:id="1">
    <w:p w14:paraId="40151D90" w14:textId="77777777" w:rsidR="00733876" w:rsidRDefault="00733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A75E4" w14:textId="77777777" w:rsidR="00636DEE" w:rsidRPr="000B162D" w:rsidRDefault="00636DEE">
    <w:pPr>
      <w:jc w:val="center"/>
      <w:rPr>
        <w:rFonts w:ascii="Source Sans Pro" w:hAnsi="Source Sans Pro"/>
        <w:b/>
        <w:sz w:val="28"/>
      </w:rPr>
    </w:pPr>
    <w:r w:rsidRPr="000B162D">
      <w:rPr>
        <w:rFonts w:ascii="Source Sans Pro" w:hAnsi="Source Sans Pro"/>
        <w:b/>
        <w:sz w:val="28"/>
      </w:rPr>
      <w:t>DELEGATED EXAMINING PROGRAM REVIEW</w:t>
    </w:r>
  </w:p>
  <w:p w14:paraId="0DF95292" w14:textId="77777777" w:rsidR="00636DEE" w:rsidRDefault="00636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4479"/>
    <w:multiLevelType w:val="hybridMultilevel"/>
    <w:tmpl w:val="EC90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F7E"/>
    <w:multiLevelType w:val="hybridMultilevel"/>
    <w:tmpl w:val="24565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40"/>
    <w:multiLevelType w:val="hybridMultilevel"/>
    <w:tmpl w:val="58C85A8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21AC086F"/>
    <w:multiLevelType w:val="hybridMultilevel"/>
    <w:tmpl w:val="6220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186E"/>
    <w:multiLevelType w:val="hybridMultilevel"/>
    <w:tmpl w:val="B184C0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39FD"/>
    <w:multiLevelType w:val="hybridMultilevel"/>
    <w:tmpl w:val="074892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79A7"/>
    <w:multiLevelType w:val="hybridMultilevel"/>
    <w:tmpl w:val="778E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446">
    <w:abstractNumId w:val="5"/>
  </w:num>
  <w:num w:numId="2" w16cid:durableId="272784453">
    <w:abstractNumId w:val="4"/>
  </w:num>
  <w:num w:numId="3" w16cid:durableId="333799292">
    <w:abstractNumId w:val="1"/>
  </w:num>
  <w:num w:numId="4" w16cid:durableId="178861285">
    <w:abstractNumId w:val="6"/>
  </w:num>
  <w:num w:numId="5" w16cid:durableId="362824802">
    <w:abstractNumId w:val="3"/>
  </w:num>
  <w:num w:numId="6" w16cid:durableId="1032532998">
    <w:abstractNumId w:val="2"/>
  </w:num>
  <w:num w:numId="7" w16cid:durableId="62909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5F"/>
    <w:rsid w:val="00031776"/>
    <w:rsid w:val="000446E5"/>
    <w:rsid w:val="00087D2A"/>
    <w:rsid w:val="00096199"/>
    <w:rsid w:val="000A0D5F"/>
    <w:rsid w:val="000B162D"/>
    <w:rsid w:val="000D3FF2"/>
    <w:rsid w:val="000E5820"/>
    <w:rsid w:val="000E7CF4"/>
    <w:rsid w:val="00114F45"/>
    <w:rsid w:val="00122BA9"/>
    <w:rsid w:val="001300B9"/>
    <w:rsid w:val="001302A3"/>
    <w:rsid w:val="001525E8"/>
    <w:rsid w:val="00163E88"/>
    <w:rsid w:val="00183825"/>
    <w:rsid w:val="00184946"/>
    <w:rsid w:val="00191746"/>
    <w:rsid w:val="001D5604"/>
    <w:rsid w:val="001F44F9"/>
    <w:rsid w:val="0020533A"/>
    <w:rsid w:val="00207312"/>
    <w:rsid w:val="002259E7"/>
    <w:rsid w:val="00261F0F"/>
    <w:rsid w:val="00264934"/>
    <w:rsid w:val="00266178"/>
    <w:rsid w:val="0029145D"/>
    <w:rsid w:val="002A6DBC"/>
    <w:rsid w:val="002C0AB9"/>
    <w:rsid w:val="002E730E"/>
    <w:rsid w:val="00304343"/>
    <w:rsid w:val="003403F7"/>
    <w:rsid w:val="00343D49"/>
    <w:rsid w:val="003506C5"/>
    <w:rsid w:val="00361BBE"/>
    <w:rsid w:val="00361E67"/>
    <w:rsid w:val="00362032"/>
    <w:rsid w:val="003E45A6"/>
    <w:rsid w:val="003E4FDF"/>
    <w:rsid w:val="003F2E50"/>
    <w:rsid w:val="0040317F"/>
    <w:rsid w:val="00403EC6"/>
    <w:rsid w:val="00421032"/>
    <w:rsid w:val="004232A8"/>
    <w:rsid w:val="00433847"/>
    <w:rsid w:val="004477CA"/>
    <w:rsid w:val="004750CB"/>
    <w:rsid w:val="004B47BA"/>
    <w:rsid w:val="004B7F3D"/>
    <w:rsid w:val="004C3832"/>
    <w:rsid w:val="004D5465"/>
    <w:rsid w:val="005151EE"/>
    <w:rsid w:val="005818A9"/>
    <w:rsid w:val="00595BCA"/>
    <w:rsid w:val="005E0FF7"/>
    <w:rsid w:val="005E7B98"/>
    <w:rsid w:val="0061216F"/>
    <w:rsid w:val="00630D54"/>
    <w:rsid w:val="00636DEE"/>
    <w:rsid w:val="00663AB0"/>
    <w:rsid w:val="00664E3F"/>
    <w:rsid w:val="00690C6A"/>
    <w:rsid w:val="00697B02"/>
    <w:rsid w:val="006A00A8"/>
    <w:rsid w:val="006B35A5"/>
    <w:rsid w:val="006B6A16"/>
    <w:rsid w:val="006C05F9"/>
    <w:rsid w:val="00704849"/>
    <w:rsid w:val="007148E2"/>
    <w:rsid w:val="00726372"/>
    <w:rsid w:val="00730156"/>
    <w:rsid w:val="00733876"/>
    <w:rsid w:val="007770F7"/>
    <w:rsid w:val="007C08A4"/>
    <w:rsid w:val="008260C3"/>
    <w:rsid w:val="0087327A"/>
    <w:rsid w:val="00893128"/>
    <w:rsid w:val="008C0F8C"/>
    <w:rsid w:val="008C3F62"/>
    <w:rsid w:val="008F72A3"/>
    <w:rsid w:val="00903257"/>
    <w:rsid w:val="00926EB8"/>
    <w:rsid w:val="00927D61"/>
    <w:rsid w:val="00932D7D"/>
    <w:rsid w:val="00957CB8"/>
    <w:rsid w:val="00964F91"/>
    <w:rsid w:val="009726F7"/>
    <w:rsid w:val="00973732"/>
    <w:rsid w:val="009A4C08"/>
    <w:rsid w:val="009E0964"/>
    <w:rsid w:val="009E2D99"/>
    <w:rsid w:val="009E42D4"/>
    <w:rsid w:val="00A03ACD"/>
    <w:rsid w:val="00A2357F"/>
    <w:rsid w:val="00A23894"/>
    <w:rsid w:val="00A34C8C"/>
    <w:rsid w:val="00A73184"/>
    <w:rsid w:val="00AA07DD"/>
    <w:rsid w:val="00AB019B"/>
    <w:rsid w:val="00AC042C"/>
    <w:rsid w:val="00AC797C"/>
    <w:rsid w:val="00AD3F6F"/>
    <w:rsid w:val="00AD4A48"/>
    <w:rsid w:val="00AE3E79"/>
    <w:rsid w:val="00AF6E27"/>
    <w:rsid w:val="00B02AB9"/>
    <w:rsid w:val="00B329E8"/>
    <w:rsid w:val="00B42B3C"/>
    <w:rsid w:val="00B831DC"/>
    <w:rsid w:val="00BB6BE5"/>
    <w:rsid w:val="00BD4D18"/>
    <w:rsid w:val="00BE3327"/>
    <w:rsid w:val="00BE48D1"/>
    <w:rsid w:val="00BE7DDC"/>
    <w:rsid w:val="00C0473E"/>
    <w:rsid w:val="00C1248E"/>
    <w:rsid w:val="00C64E41"/>
    <w:rsid w:val="00C82FC8"/>
    <w:rsid w:val="00C8667F"/>
    <w:rsid w:val="00C87EE6"/>
    <w:rsid w:val="00CB27A3"/>
    <w:rsid w:val="00CC398E"/>
    <w:rsid w:val="00CD4083"/>
    <w:rsid w:val="00CE556C"/>
    <w:rsid w:val="00D52F44"/>
    <w:rsid w:val="00D55BCF"/>
    <w:rsid w:val="00DE63ED"/>
    <w:rsid w:val="00E07252"/>
    <w:rsid w:val="00E4548C"/>
    <w:rsid w:val="00E90E1C"/>
    <w:rsid w:val="00EB2711"/>
    <w:rsid w:val="00EE0DCE"/>
    <w:rsid w:val="00EF003F"/>
    <w:rsid w:val="00F034BC"/>
    <w:rsid w:val="00F21D3D"/>
    <w:rsid w:val="00F27073"/>
    <w:rsid w:val="00F33DC9"/>
    <w:rsid w:val="00F60AC7"/>
    <w:rsid w:val="00F77A1A"/>
    <w:rsid w:val="00F8399A"/>
    <w:rsid w:val="00FC621B"/>
    <w:rsid w:val="062CC09E"/>
    <w:rsid w:val="16E9DC87"/>
    <w:rsid w:val="26B4230D"/>
    <w:rsid w:val="2FD0CB15"/>
    <w:rsid w:val="395A9600"/>
    <w:rsid w:val="396D18DD"/>
    <w:rsid w:val="3B36A7FD"/>
    <w:rsid w:val="424E1819"/>
    <w:rsid w:val="49E09385"/>
    <w:rsid w:val="64257B5A"/>
    <w:rsid w:val="6826195D"/>
    <w:rsid w:val="686A5FC1"/>
    <w:rsid w:val="6E7C8029"/>
    <w:rsid w:val="6E8BF851"/>
    <w:rsid w:val="7C72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30771"/>
  <w15:chartTrackingRefBased/>
  <w15:docId w15:val="{0BD879E8-1874-4F78-8967-C5836FF2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ageBreakBefore/>
      <w:spacing w:before="40" w:after="40"/>
      <w:outlineLvl w:val="2"/>
    </w:pPr>
    <w:rPr>
      <w:rFonts w:ascii="Futura Bk BT" w:hAnsi="Futura Bk BT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61BBE"/>
    <w:rPr>
      <w:sz w:val="16"/>
      <w:szCs w:val="16"/>
    </w:rPr>
  </w:style>
  <w:style w:type="paragraph" w:styleId="CommentText">
    <w:name w:val="annotation text"/>
    <w:basedOn w:val="Normal"/>
    <w:semiHidden/>
    <w:rsid w:val="00361BBE"/>
    <w:rPr>
      <w:sz w:val="20"/>
    </w:rPr>
  </w:style>
  <w:style w:type="paragraph" w:styleId="CommentSubject">
    <w:name w:val="annotation subject"/>
    <w:basedOn w:val="CommentText"/>
    <w:next w:val="CommentText"/>
    <w:semiHidden/>
    <w:rsid w:val="00361BBE"/>
    <w:rPr>
      <w:b/>
      <w:bCs/>
    </w:rPr>
  </w:style>
  <w:style w:type="paragraph" w:styleId="Revision">
    <w:name w:val="Revision"/>
    <w:hidden/>
    <w:uiPriority w:val="99"/>
    <w:semiHidden/>
    <w:rsid w:val="002E730E"/>
    <w:rPr>
      <w:snapToGrid w:val="0"/>
      <w:sz w:val="24"/>
    </w:rPr>
  </w:style>
  <w:style w:type="character" w:styleId="Hyperlink">
    <w:name w:val="Hyperlink"/>
    <w:uiPriority w:val="99"/>
    <w:unhideWhenUsed/>
    <w:rsid w:val="00163E8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63E88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63E8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urrent/title-5/chapter-I/subchapter-B/part-250" TargetMode="External"/><Relationship Id="rId18" Type="http://schemas.openxmlformats.org/officeDocument/2006/relationships/hyperlink" Target="https://www.ecfr.gov/current/title-5/chapter-I/subchapter-B/part-250" TargetMode="External"/><Relationship Id="rId26" Type="http://schemas.openxmlformats.org/officeDocument/2006/relationships/hyperlink" Target="https://www.ecfr.gov/current/title-5/chapter-I/subchapter-B/part-250" TargetMode="External"/><Relationship Id="rId39" Type="http://schemas.openxmlformats.org/officeDocument/2006/relationships/hyperlink" Target="https://www.opm.gov/policy-data-oversight/hiring-information/competitive-hiring/deo_handbook.pdf" TargetMode="External"/><Relationship Id="rId21" Type="http://schemas.openxmlformats.org/officeDocument/2006/relationships/hyperlink" Target="https://www.ecfr.gov/current/title-5/chapter-I/subchapter-B/part-250" TargetMode="External"/><Relationship Id="rId34" Type="http://schemas.openxmlformats.org/officeDocument/2006/relationships/hyperlink" Target="https://uscode.house.gov/view.xhtml?req=granuleid:USC-2010-title5-section2108&amp;num=0&amp;edition=2010" TargetMode="External"/><Relationship Id="rId42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5/chapter-I/subchapter-B/part-250" TargetMode="External"/><Relationship Id="rId29" Type="http://schemas.openxmlformats.org/officeDocument/2006/relationships/hyperlink" Target="https://www.ecfr.gov/current/title-5/chapter-I/subchapter-B/part-339/subpart-C/section-339.30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urrent/title-5/chapter-I/subchapter-B/part-250" TargetMode="External"/><Relationship Id="rId24" Type="http://schemas.openxmlformats.org/officeDocument/2006/relationships/hyperlink" Target="https://www.ecfr.gov/current/title-5/chapter-I/subchapter-B/part-250" TargetMode="External"/><Relationship Id="rId32" Type="http://schemas.openxmlformats.org/officeDocument/2006/relationships/hyperlink" Target="https://www.ecfr.gov/current/title-5/chapter-I/subchapter-B/part-731/subpart-A/section-731.103" TargetMode="External"/><Relationship Id="rId37" Type="http://schemas.openxmlformats.org/officeDocument/2006/relationships/hyperlink" Target="https://www.opm.gov/policy-data-oversight/hiring-information/competitive-hiring/deo_handbook.pdf" TargetMode="External"/><Relationship Id="rId40" Type="http://schemas.openxmlformats.org/officeDocument/2006/relationships/hyperlink" Target="https://www.opm.gov/policy-data-oversight/hiring-information/competitive-hiring/deo_handbook.pdf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ecfr.gov/current/title-5/chapter-I/subchapter-B/part-250" TargetMode="External"/><Relationship Id="rId23" Type="http://schemas.openxmlformats.org/officeDocument/2006/relationships/hyperlink" Target="https://www.ecfr.gov/current/title-5/chapter-I/subchapter-B/part-250" TargetMode="External"/><Relationship Id="rId28" Type="http://schemas.openxmlformats.org/officeDocument/2006/relationships/hyperlink" Target="https://www.ecfr.gov/current/title-5/chapter-I/subchapter-B/part-250" TargetMode="External"/><Relationship Id="rId36" Type="http://schemas.openxmlformats.org/officeDocument/2006/relationships/hyperlink" Target="https://www.ecfr.gov/current/title-5/chapter-I/subchapter-B/part-720/subpart-B/section-720.204" TargetMode="External"/><Relationship Id="rId10" Type="http://schemas.openxmlformats.org/officeDocument/2006/relationships/hyperlink" Target="https://www.govregs.com/uscode/expand/title5_partII_chapter11_section1104" TargetMode="External"/><Relationship Id="rId19" Type="http://schemas.openxmlformats.org/officeDocument/2006/relationships/hyperlink" Target="https://uscode.house.gov/view.xhtml?req=granuleid:USC-prelim-title5-section3327&amp;num=0&amp;edition=prelim" TargetMode="External"/><Relationship Id="rId31" Type="http://schemas.openxmlformats.org/officeDocument/2006/relationships/hyperlink" Target="https://www.ecfr.gov/current/title-5/chapter-I/subchapter-A/part-5/section-5.4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cfr.gov/current/title-5/chapter-I/subchapter-B/part-250" TargetMode="External"/><Relationship Id="rId22" Type="http://schemas.openxmlformats.org/officeDocument/2006/relationships/hyperlink" Target="https://www.ecfr.gov/current/title-5/chapter-I/subchapter-B/part-300/subpart-A" TargetMode="External"/><Relationship Id="rId27" Type="http://schemas.openxmlformats.org/officeDocument/2006/relationships/hyperlink" Target="https://www.ecfr.gov/current/title-5/chapter-I/subchapter-B/part-250" TargetMode="External"/><Relationship Id="rId30" Type="http://schemas.openxmlformats.org/officeDocument/2006/relationships/hyperlink" Target="https://uscode.house.gov/view.xhtml?req=granuleid%3AUSC-prelim-title5-chapter33&amp;saved=%7CZ3JhbnVsZWlkOlVTQy1wcmVsaW0tdGl0bGU1LXNlY3Rpb24zMzI3%7C%7C%7C0%7Cfalse%7Cprelim&amp;edition=prelim" TargetMode="External"/><Relationship Id="rId35" Type="http://schemas.openxmlformats.org/officeDocument/2006/relationships/hyperlink" Target="https://www.ecfr.gov/current/title-5/chapter-I/subchapter-B/part-211/section-211.103" TargetMode="External"/><Relationship Id="rId43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opm.gov/policy-data-oversight/hiring-information/competitive-hiring/deo_handbook.pdf" TargetMode="External"/><Relationship Id="rId17" Type="http://schemas.openxmlformats.org/officeDocument/2006/relationships/hyperlink" Target="https://www.ecfr.gov/current/title-5/chapter-I/subchapter-B/part-250" TargetMode="External"/><Relationship Id="rId25" Type="http://schemas.openxmlformats.org/officeDocument/2006/relationships/hyperlink" Target="https://www.ecfr.gov/current/title-5/chapter-I/subchapter-B/part-300/subpart-A/section-300.102" TargetMode="External"/><Relationship Id="rId33" Type="http://schemas.openxmlformats.org/officeDocument/2006/relationships/hyperlink" Target="https://uscode.house.gov/view.xhtml?req=(title:5%20section:3318%20edition:prelim)" TargetMode="External"/><Relationship Id="rId38" Type="http://schemas.openxmlformats.org/officeDocument/2006/relationships/hyperlink" Target="https://www.opm.gov/policy-data-oversight/hiring-information/competitive-hiring/deo_handbook.pdf" TargetMode="External"/><Relationship Id="rId20" Type="http://schemas.openxmlformats.org/officeDocument/2006/relationships/hyperlink" Target="https://uscode.house.gov/view.xhtml?hl=false&amp;edition=prelim&amp;req=granuleid%3AUSC-prelim-title5-section3330&amp;num=0&amp;saved=%7CZ3JhbnVsZWlkOlVTQy1wcmVsaW0tdGl0bGU1LXNlY3Rpb24zMzI3%7C%7C%7C0%7Cfalse%7Cprelim" TargetMode="External"/><Relationship Id="rId41" Type="http://schemas.openxmlformats.org/officeDocument/2006/relationships/hyperlink" Target="https://www.opm.gov/policy-data-oversight/hiring-information/competitive-hiring/deo_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238CE7073042872E4F9385822021" ma:contentTypeVersion="20" ma:contentTypeDescription="Create a new document." ma:contentTypeScope="" ma:versionID="102b36a888f8c0237b7604b2fd9bb6f5">
  <xsd:schema xmlns:xsd="http://www.w3.org/2001/XMLSchema" xmlns:xs="http://www.w3.org/2001/XMLSchema" xmlns:p="http://schemas.microsoft.com/office/2006/metadata/properties" xmlns:ns2="095cf866-1d27-4d86-88c7-8b60e5eca3bf" xmlns:ns3="c8a708a0-2971-4779-a179-aa0b18ffdf65" xmlns:ns4="66810af5-81b7-4a54-9be9-ba2a8ed138ad" targetNamespace="http://schemas.microsoft.com/office/2006/metadata/properties" ma:root="true" ma:fieldsID="a2aeda42efd150b091dbf437dbb99733" ns2:_="" ns3:_="" ns4:_="">
    <xsd:import namespace="095cf866-1d27-4d86-88c7-8b60e5eca3bf"/>
    <xsd:import namespace="c8a708a0-2971-4779-a179-aa0b18ffdf65"/>
    <xsd:import namespace="66810af5-81b7-4a54-9be9-ba2a8ed13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ReportinFolder" minOccurs="0"/>
                <xsd:element ref="ns2:IDTracker" minOccurs="0"/>
                <xsd:element ref="ns2:Evalu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cf866-1d27-4d86-88c7-8b60e5eca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9d6a30-35d4-4125-9895-745589be7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portinFolder" ma:index="24" nillable="true" ma:displayName="Report in Folder" ma:format="Dropdown" ma:internalName="ReportinFolder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IDTracker" ma:index="25" nillable="true" ma:displayName="ID Tracker #" ma:format="Dropdown" ma:internalName="IDTracker" ma:percentage="FALSE">
      <xsd:simpleType>
        <xsd:restriction base="dms:Number"/>
      </xsd:simpleType>
    </xsd:element>
    <xsd:element name="EvaluationID" ma:index="26" nillable="true" ma:displayName="Evaluation ID" ma:decimals="0" ma:description="The ID of the evaluation in the 'ACE Workload Tracker' list." ma:format="Dropdown" ma:internalName="Evaluation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708a0-2971-4779-a179-aa0b18ffd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0af5-81b7-4a54-9be9-ba2a8ed138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5208a3-09eb-42ff-8b0a-3bba3fcc59a1}" ma:internalName="TaxCatchAll" ma:showField="CatchAllData" ma:web="c8a708a0-2971-4779-a179-aa0b18ffd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cf866-1d27-4d86-88c7-8b60e5eca3bf">
      <Terms xmlns="http://schemas.microsoft.com/office/infopath/2007/PartnerControls"/>
    </lcf76f155ced4ddcb4097134ff3c332f>
    <TaxCatchAll xmlns="66810af5-81b7-4a54-9be9-ba2a8ed138ad" xsi:nil="true"/>
    <EvaluationID xmlns="095cf866-1d27-4d86-88c7-8b60e5eca3bf" xsi:nil="true"/>
    <ReportinFolder xmlns="095cf866-1d27-4d86-88c7-8b60e5eca3bf" xsi:nil="true"/>
    <IDTracker xmlns="095cf866-1d27-4d86-88c7-8b60e5eca3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B2B5D-79EE-4C81-B844-5C8D807D9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cf866-1d27-4d86-88c7-8b60e5eca3bf"/>
    <ds:schemaRef ds:uri="c8a708a0-2971-4779-a179-aa0b18ffdf65"/>
    <ds:schemaRef ds:uri="66810af5-81b7-4a54-9be9-ba2a8ed13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70862-8059-4599-BACC-E57E899C1F63}">
  <ds:schemaRefs>
    <ds:schemaRef ds:uri="http://schemas.microsoft.com/office/2006/metadata/properties"/>
    <ds:schemaRef ds:uri="http://schemas.microsoft.com/office/infopath/2007/PartnerControls"/>
    <ds:schemaRef ds:uri="095cf866-1d27-4d86-88c7-8b60e5eca3bf"/>
    <ds:schemaRef ds:uri="66810af5-81b7-4a54-9be9-ba2a8ed138ad"/>
  </ds:schemaRefs>
</ds:datastoreItem>
</file>

<file path=customXml/itemProps3.xml><?xml version="1.0" encoding="utf-8"?>
<ds:datastoreItem xmlns:ds="http://schemas.openxmlformats.org/officeDocument/2006/customXml" ds:itemID="{12D168DA-F84B-4EF0-8F0A-D774111E4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712</Words>
  <Characters>7791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DELEGATED EXAMINING (TIER III)</vt:lpstr>
    </vt:vector>
  </TitlesOfParts>
  <Company>OPM</Company>
  <LinksUpToDate>false</LinksUpToDate>
  <CharactersWithSpaces>8487</CharactersWithSpaces>
  <SharedDoc>false</SharedDoc>
  <HLinks>
    <vt:vector size="6" baseType="variant"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_Other_Comments: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DELEGATED EXAMINING (TIER III)</dc:title>
  <dc:subject/>
  <dc:creator>OMSOE</dc:creator>
  <cp:keywords/>
  <cp:lastModifiedBy>Coleman, Shannon D CTR DODHRA DCPAS (USA)</cp:lastModifiedBy>
  <cp:revision>25</cp:revision>
  <cp:lastPrinted>2010-05-17T20:40:00Z</cp:lastPrinted>
  <dcterms:created xsi:type="dcterms:W3CDTF">2024-11-12T12:47:00Z</dcterms:created>
  <dcterms:modified xsi:type="dcterms:W3CDTF">2025-05-15T16:53:00Z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0x010100145A238CE7073042872E4F9385822021</vt:lpwstr>
  </property>
  <property fmtid="{D5CDD505-2E9C-101B-9397-08002B2CF9AE}" pid="3" name="MediaServiceImageTags">
    <vt:lpwstr/>
  </property>
</Properties>
</file>