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2"/>
      </w:tblGrid>
      <w:tr w:rsidR="003B7DC8" w:rsidRPr="0046296F" w14:paraId="29A32A53" w14:textId="77777777">
        <w:tc>
          <w:tcPr>
            <w:tcW w:w="10152" w:type="dxa"/>
          </w:tcPr>
          <w:p w14:paraId="2DA7BBFB" w14:textId="77777777" w:rsidR="003B7DC8" w:rsidRPr="0046296F" w:rsidRDefault="003B7DC8" w:rsidP="00706A32">
            <w:pPr>
              <w:spacing w:line="233" w:lineRule="auto"/>
              <w:rPr>
                <w:rFonts w:ascii="Source Sans Pro" w:hAnsi="Source Sans Pro"/>
                <w:b/>
                <w:sz w:val="22"/>
                <w:szCs w:val="22"/>
              </w:rPr>
            </w:pPr>
            <w:r w:rsidRPr="0046296F">
              <w:rPr>
                <w:rFonts w:ascii="Source Sans Pro" w:hAnsi="Source Sans Pro"/>
                <w:b/>
                <w:sz w:val="22"/>
                <w:szCs w:val="22"/>
              </w:rPr>
              <w:t>Employee:</w:t>
            </w:r>
          </w:p>
          <w:p w14:paraId="16E350E5" w14:textId="77777777" w:rsidR="003B7DC8" w:rsidRPr="0046296F" w:rsidRDefault="003B7DC8" w:rsidP="00706A32">
            <w:pPr>
              <w:spacing w:line="233" w:lineRule="auto"/>
              <w:rPr>
                <w:rFonts w:ascii="Source Sans Pro" w:hAnsi="Source Sans Pro"/>
                <w:sz w:val="22"/>
                <w:szCs w:val="22"/>
              </w:rPr>
            </w:pPr>
          </w:p>
        </w:tc>
      </w:tr>
      <w:tr w:rsidR="003B7DC8" w:rsidRPr="0046296F" w14:paraId="5499C5B0" w14:textId="77777777">
        <w:tc>
          <w:tcPr>
            <w:tcW w:w="10152" w:type="dxa"/>
          </w:tcPr>
          <w:p w14:paraId="739B706A" w14:textId="77777777" w:rsidR="003B7DC8" w:rsidRPr="0046296F" w:rsidRDefault="003B7DC8" w:rsidP="00706A32">
            <w:pPr>
              <w:spacing w:line="233" w:lineRule="auto"/>
              <w:rPr>
                <w:rFonts w:ascii="Source Sans Pro" w:hAnsi="Source Sans Pro"/>
                <w:b/>
                <w:sz w:val="22"/>
                <w:szCs w:val="22"/>
              </w:rPr>
            </w:pPr>
            <w:r w:rsidRPr="0046296F">
              <w:rPr>
                <w:rFonts w:ascii="Source Sans Pro" w:hAnsi="Source Sans Pro"/>
                <w:b/>
                <w:sz w:val="22"/>
                <w:szCs w:val="22"/>
              </w:rPr>
              <w:t>Title, PP/Series/Grade:</w:t>
            </w:r>
          </w:p>
          <w:p w14:paraId="2D34908A" w14:textId="77777777" w:rsidR="003B7DC8" w:rsidRPr="0046296F" w:rsidRDefault="003B7DC8" w:rsidP="00706A32">
            <w:pPr>
              <w:spacing w:line="233" w:lineRule="auto"/>
              <w:rPr>
                <w:rFonts w:ascii="Source Sans Pro" w:hAnsi="Source Sans Pro"/>
                <w:sz w:val="22"/>
                <w:szCs w:val="22"/>
              </w:rPr>
            </w:pPr>
          </w:p>
        </w:tc>
      </w:tr>
      <w:tr w:rsidR="003B7DC8" w:rsidRPr="0046296F" w14:paraId="376789FD" w14:textId="77777777">
        <w:tc>
          <w:tcPr>
            <w:tcW w:w="10152" w:type="dxa"/>
          </w:tcPr>
          <w:p w14:paraId="2A41DCB0" w14:textId="77777777" w:rsidR="003B7DC8" w:rsidRPr="0046296F" w:rsidRDefault="003B7DC8" w:rsidP="00706A32">
            <w:pPr>
              <w:spacing w:line="233" w:lineRule="auto"/>
              <w:rPr>
                <w:rFonts w:ascii="Source Sans Pro" w:hAnsi="Source Sans Pro"/>
                <w:b/>
                <w:sz w:val="22"/>
                <w:szCs w:val="22"/>
              </w:rPr>
            </w:pPr>
            <w:r w:rsidRPr="0046296F">
              <w:rPr>
                <w:rFonts w:ascii="Source Sans Pro" w:hAnsi="Source Sans Pro"/>
                <w:b/>
                <w:sz w:val="22"/>
                <w:szCs w:val="22"/>
              </w:rPr>
              <w:t>Agency/Location:</w:t>
            </w:r>
          </w:p>
          <w:p w14:paraId="3BBC070E" w14:textId="77777777" w:rsidR="003B7DC8" w:rsidRPr="0046296F" w:rsidRDefault="003B7DC8" w:rsidP="00706A32">
            <w:pPr>
              <w:spacing w:line="233" w:lineRule="auto"/>
              <w:rPr>
                <w:rFonts w:ascii="Source Sans Pro" w:hAnsi="Source Sans Pro"/>
                <w:sz w:val="22"/>
                <w:szCs w:val="22"/>
              </w:rPr>
            </w:pPr>
          </w:p>
        </w:tc>
      </w:tr>
    </w:tbl>
    <w:p w14:paraId="1A2589F3" w14:textId="77777777" w:rsidR="003B7DC8" w:rsidRDefault="003B7DC8" w:rsidP="00706A32">
      <w:pPr>
        <w:spacing w:line="233" w:lineRule="auto"/>
        <w:rPr>
          <w:rFonts w:ascii="Arial" w:hAnsi="Arial"/>
          <w:sz w:val="19"/>
        </w:rPr>
      </w:pPr>
    </w:p>
    <w:p w14:paraId="2D29FD5B" w14:textId="7704AA13" w:rsidR="003B7DC8" w:rsidRPr="00FB24B7" w:rsidRDefault="003B7DC8" w:rsidP="0046296F">
      <w:pPr>
        <w:rPr>
          <w:rFonts w:ascii="Source Sans Pro" w:hAnsi="Source Sans Pro"/>
          <w:b/>
          <w:sz w:val="22"/>
          <w:szCs w:val="22"/>
        </w:rPr>
      </w:pPr>
      <w:r w:rsidRPr="00FB24B7">
        <w:rPr>
          <w:rFonts w:ascii="Source Sans Pro" w:hAnsi="Source Sans Pro"/>
          <w:b/>
          <w:bCs/>
          <w:sz w:val="22"/>
          <w:szCs w:val="22"/>
        </w:rPr>
        <w:t>Reference</w:t>
      </w:r>
      <w:r w:rsidR="0046296F" w:rsidRPr="00FB24B7">
        <w:rPr>
          <w:rFonts w:ascii="Source Sans Pro" w:hAnsi="Source Sans Pro"/>
          <w:b/>
          <w:bCs/>
          <w:sz w:val="22"/>
          <w:szCs w:val="22"/>
        </w:rPr>
        <w:t>s</w:t>
      </w:r>
      <w:r w:rsidRPr="00FB24B7">
        <w:rPr>
          <w:rFonts w:ascii="Source Sans Pro" w:hAnsi="Source Sans Pro"/>
          <w:b/>
          <w:bCs/>
          <w:sz w:val="22"/>
          <w:szCs w:val="22"/>
        </w:rPr>
        <w:t>:</w:t>
      </w:r>
      <w:r w:rsidRPr="00FB24B7">
        <w:rPr>
          <w:rFonts w:ascii="Source Sans Pro" w:hAnsi="Source Sans Pro"/>
          <w:sz w:val="22"/>
          <w:szCs w:val="22"/>
        </w:rPr>
        <w:t xml:space="preserve"> </w:t>
      </w:r>
      <w:hyperlink r:id="rId10" w:history="1">
        <w:r w:rsidR="00B55A77" w:rsidRPr="00332147">
          <w:rPr>
            <w:rStyle w:val="Hyperlink"/>
            <w:rFonts w:ascii="Source Sans Pro" w:hAnsi="Source Sans Pro"/>
            <w:sz w:val="22"/>
            <w:szCs w:val="22"/>
          </w:rPr>
          <w:t>5 U.S.C. 5379</w:t>
        </w:r>
      </w:hyperlink>
      <w:r w:rsidR="00B55A77" w:rsidRPr="00FB24B7">
        <w:rPr>
          <w:rFonts w:ascii="Source Sans Pro" w:hAnsi="Source Sans Pro"/>
          <w:sz w:val="22"/>
          <w:szCs w:val="22"/>
        </w:rPr>
        <w:t xml:space="preserve">; </w:t>
      </w:r>
      <w:hyperlink r:id="rId11" w:history="1">
        <w:r w:rsidRPr="003A4EA9">
          <w:rPr>
            <w:rStyle w:val="Hyperlink"/>
            <w:rFonts w:ascii="Source Sans Pro" w:hAnsi="Source Sans Pro"/>
            <w:sz w:val="22"/>
            <w:szCs w:val="22"/>
          </w:rPr>
          <w:t>5 CFR 537</w:t>
        </w:r>
      </w:hyperlink>
    </w:p>
    <w:p w14:paraId="3EE949E0" w14:textId="77777777" w:rsidR="0090117D" w:rsidRPr="00FB24B7" w:rsidRDefault="0090117D" w:rsidP="0090117D">
      <w:pPr>
        <w:rPr>
          <w:rFonts w:ascii="Source Sans Pro" w:hAnsi="Source Sans Pro"/>
          <w:sz w:val="22"/>
          <w:szCs w:val="22"/>
        </w:rPr>
      </w:pPr>
    </w:p>
    <w:p w14:paraId="16C3EA99" w14:textId="6A2DD115" w:rsidR="0090117D" w:rsidRDefault="0090117D" w:rsidP="0090117D">
      <w:pPr>
        <w:rPr>
          <w:rFonts w:ascii="Source Sans Pro" w:hAnsi="Source Sans Pro" w:cs="Arial"/>
          <w:sz w:val="22"/>
          <w:szCs w:val="22"/>
        </w:rPr>
      </w:pPr>
      <w:r w:rsidRPr="00FB24B7">
        <w:rPr>
          <w:rFonts w:ascii="Source Sans Pro" w:hAnsi="Source Sans Pro" w:cs="Arial"/>
          <w:b/>
          <w:sz w:val="22"/>
          <w:szCs w:val="22"/>
        </w:rPr>
        <w:t>I</w:t>
      </w:r>
      <w:r w:rsidR="0046296F" w:rsidRPr="00FB24B7">
        <w:rPr>
          <w:rFonts w:ascii="Source Sans Pro" w:hAnsi="Source Sans Pro" w:cs="Arial"/>
          <w:b/>
          <w:sz w:val="22"/>
          <w:szCs w:val="22"/>
        </w:rPr>
        <w:t>nstructions</w:t>
      </w:r>
      <w:r w:rsidRPr="00FB24B7">
        <w:rPr>
          <w:rFonts w:ascii="Source Sans Pro" w:hAnsi="Source Sans Pro" w:cs="Arial"/>
          <w:b/>
          <w:sz w:val="22"/>
          <w:szCs w:val="22"/>
        </w:rPr>
        <w:t>:</w:t>
      </w:r>
      <w:r w:rsidRPr="00FB24B7">
        <w:rPr>
          <w:rFonts w:ascii="Source Sans Pro" w:hAnsi="Source Sans Pro" w:cs="Arial"/>
          <w:sz w:val="22"/>
          <w:szCs w:val="22"/>
        </w:rPr>
        <w:t xml:space="preserve"> This checklist applies to reviews of student loan repayments benefits authorized on or after </w:t>
      </w:r>
      <w:smartTag w:uri="urn:schemas-microsoft-com:office:smarttags" w:element="date">
        <w:smartTagPr>
          <w:attr w:name="Month" w:val="12"/>
          <w:attr w:name="Day" w:val="1"/>
          <w:attr w:name="Year" w:val="2008"/>
        </w:smartTagPr>
        <w:r w:rsidRPr="00FB24B7">
          <w:rPr>
            <w:rFonts w:ascii="Source Sans Pro" w:hAnsi="Source Sans Pro" w:cs="Arial"/>
            <w:sz w:val="22"/>
            <w:szCs w:val="22"/>
          </w:rPr>
          <w:t>December 1, 2008</w:t>
        </w:r>
      </w:smartTag>
      <w:r w:rsidRPr="00FB24B7">
        <w:rPr>
          <w:rFonts w:ascii="Source Sans Pro" w:hAnsi="Source Sans Pro" w:cs="Arial"/>
          <w:sz w:val="22"/>
          <w:szCs w:val="22"/>
        </w:rPr>
        <w:t>.</w:t>
      </w:r>
    </w:p>
    <w:p w14:paraId="01658CE4" w14:textId="77777777" w:rsidR="003A4EA9" w:rsidRDefault="003A4EA9" w:rsidP="0090117D">
      <w:pPr>
        <w:rPr>
          <w:rFonts w:ascii="Source Sans Pro" w:hAnsi="Source Sans Pro" w:cs="Arial"/>
          <w:sz w:val="22"/>
          <w:szCs w:val="22"/>
        </w:rPr>
      </w:pPr>
    </w:p>
    <w:p w14:paraId="4AAB1D8D" w14:textId="7869A23B" w:rsidR="00EE336C" w:rsidRPr="00EE336C" w:rsidRDefault="002D26EB" w:rsidP="00EE336C">
      <w:pPr>
        <w:rPr>
          <w:rStyle w:val="Hyperlink"/>
          <w:rFonts w:ascii="Source Sans Pro" w:hAnsi="Source Sans Pro"/>
          <w:b/>
          <w:sz w:val="22"/>
          <w:szCs w:val="22"/>
        </w:rPr>
      </w:pPr>
      <w:r>
        <w:rPr>
          <w:rFonts w:ascii="Source Sans Pro" w:hAnsi="Source Sans Pro"/>
          <w:b/>
          <w:color w:val="0563C1"/>
          <w:sz w:val="22"/>
          <w:szCs w:val="22"/>
          <w:u w:val="single"/>
        </w:rPr>
        <w:fldChar w:fldCharType="begin"/>
      </w:r>
      <w:r>
        <w:rPr>
          <w:rFonts w:ascii="Source Sans Pro" w:hAnsi="Source Sans Pro"/>
          <w:b/>
          <w:color w:val="0563C1"/>
          <w:sz w:val="22"/>
          <w:szCs w:val="22"/>
          <w:u w:val="single"/>
        </w:rPr>
        <w:instrText>HYPERLINK  \l "_Case_File_Summary/Comments:"</w:instrText>
      </w:r>
      <w:r>
        <w:rPr>
          <w:rFonts w:ascii="Source Sans Pro" w:hAnsi="Source Sans Pro"/>
          <w:b/>
          <w:color w:val="0563C1"/>
          <w:sz w:val="22"/>
          <w:szCs w:val="22"/>
          <w:u w:val="single"/>
        </w:rPr>
      </w:r>
      <w:r>
        <w:rPr>
          <w:rFonts w:ascii="Source Sans Pro" w:hAnsi="Source Sans Pro"/>
          <w:b/>
          <w:color w:val="0563C1"/>
          <w:sz w:val="22"/>
          <w:szCs w:val="22"/>
          <w:u w:val="single"/>
        </w:rPr>
        <w:fldChar w:fldCharType="separate"/>
      </w:r>
      <w:r w:rsidR="00EE336C" w:rsidRPr="00EE336C">
        <w:rPr>
          <w:rStyle w:val="Hyperlink"/>
          <w:rFonts w:ascii="Source Sans Pro" w:hAnsi="Source Sans Pro"/>
          <w:b/>
          <w:sz w:val="22"/>
          <w:szCs w:val="22"/>
        </w:rPr>
        <w:t>Quick Link to "Case File Summary/Comments:"</w:t>
      </w:r>
    </w:p>
    <w:p w14:paraId="750BA959" w14:textId="7BA815B3" w:rsidR="0090117D" w:rsidRPr="0046296F" w:rsidRDefault="002D26EB" w:rsidP="0090117D">
      <w:pPr>
        <w:rPr>
          <w:rFonts w:ascii="Arial" w:hAnsi="Arial" w:cs="Arial"/>
          <w:sz w:val="22"/>
          <w:szCs w:val="22"/>
        </w:rPr>
      </w:pPr>
      <w:r>
        <w:rPr>
          <w:rFonts w:ascii="Source Sans Pro" w:hAnsi="Source Sans Pro"/>
          <w:b/>
          <w:color w:val="0563C1"/>
          <w:sz w:val="22"/>
          <w:szCs w:val="22"/>
          <w:u w:val="single"/>
        </w:rPr>
        <w:fldChar w:fldCharType="end"/>
      </w:r>
    </w:p>
    <w:tbl>
      <w:tblPr>
        <w:tblW w:w="10260"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7"/>
        <w:gridCol w:w="360"/>
        <w:gridCol w:w="5603"/>
        <w:gridCol w:w="3960"/>
      </w:tblGrid>
      <w:tr w:rsidR="0046296F" w:rsidRPr="0046296F" w14:paraId="5F0E8EEC" w14:textId="77777777" w:rsidTr="0046296F">
        <w:tc>
          <w:tcPr>
            <w:tcW w:w="10260" w:type="dxa"/>
            <w:gridSpan w:val="4"/>
            <w:tcBorders>
              <w:top w:val="single" w:sz="4" w:space="0" w:color="auto"/>
              <w:bottom w:val="single" w:sz="4" w:space="0" w:color="auto"/>
            </w:tcBorders>
            <w:shd w:val="clear" w:color="auto" w:fill="727477"/>
          </w:tcPr>
          <w:p w14:paraId="32401266" w14:textId="7E9D7956" w:rsidR="0046296F" w:rsidRPr="0046296F" w:rsidRDefault="0046296F" w:rsidP="00F42626">
            <w:pPr>
              <w:widowControl/>
              <w:spacing w:before="20" w:after="20" w:line="233" w:lineRule="auto"/>
              <w:ind w:hanging="30"/>
              <w:rPr>
                <w:rFonts w:ascii="Source Sans Pro" w:hAnsi="Source Sans Pro"/>
                <w:sz w:val="22"/>
                <w:szCs w:val="22"/>
                <w:highlight w:val="yellow"/>
              </w:rPr>
            </w:pPr>
            <w:r w:rsidRPr="00163B8B">
              <w:rPr>
                <w:rFonts w:ascii="Source Sans Pro" w:hAnsi="Source Sans Pro"/>
                <w:b/>
                <w:bCs/>
                <w:snapToGrid/>
                <w:color w:val="FBFBFB"/>
                <w:sz w:val="22"/>
                <w:szCs w:val="22"/>
              </w:rPr>
              <w:t>Agency has a loan repayment plan that includes the following elements: [</w:t>
            </w:r>
            <w:hyperlink r:id="rId12" w:history="1">
              <w:r w:rsidRPr="00163B8B">
                <w:rPr>
                  <w:rStyle w:val="Hyperlink"/>
                  <w:rFonts w:ascii="Source Sans Pro" w:hAnsi="Source Sans Pro"/>
                  <w:b/>
                  <w:bCs/>
                  <w:color w:val="FBFBFB"/>
                  <w:sz w:val="22"/>
                  <w:szCs w:val="22"/>
                </w:rPr>
                <w:t>5 CFR 537.103</w:t>
              </w:r>
            </w:hyperlink>
            <w:r w:rsidRPr="00163B8B">
              <w:rPr>
                <w:rFonts w:ascii="Source Sans Pro" w:hAnsi="Source Sans Pro"/>
                <w:b/>
                <w:bCs/>
                <w:snapToGrid/>
                <w:color w:val="FBFBFB"/>
                <w:sz w:val="22"/>
                <w:szCs w:val="22"/>
              </w:rPr>
              <w:t>]</w:t>
            </w:r>
            <w:r w:rsidRPr="0046296F">
              <w:rPr>
                <w:rFonts w:ascii="Source Sans Pro" w:hAnsi="Source Sans Pro"/>
                <w:sz w:val="22"/>
                <w:szCs w:val="22"/>
                <w:highlight w:val="yellow"/>
              </w:rPr>
              <w:t xml:space="preserve"> </w:t>
            </w:r>
          </w:p>
        </w:tc>
      </w:tr>
      <w:tr w:rsidR="00EF030F" w:rsidRPr="0046296F" w14:paraId="2A83F57E" w14:textId="77777777" w:rsidTr="00EF030F">
        <w:tc>
          <w:tcPr>
            <w:tcW w:w="337" w:type="dxa"/>
            <w:tcBorders>
              <w:top w:val="single" w:sz="4" w:space="0" w:color="auto"/>
              <w:bottom w:val="single" w:sz="4" w:space="0" w:color="auto"/>
            </w:tcBorders>
          </w:tcPr>
          <w:p w14:paraId="7913B373" w14:textId="6AE27481" w:rsidR="00EF030F" w:rsidRPr="00EF030F" w:rsidRDefault="00EF030F" w:rsidP="00706A32">
            <w:pPr>
              <w:spacing w:before="20" w:after="20" w:line="233" w:lineRule="auto"/>
              <w:rPr>
                <w:rFonts w:ascii="Source Sans Pro" w:hAnsi="Source Sans Pro"/>
                <w:b/>
                <w:bCs/>
                <w:sz w:val="22"/>
                <w:szCs w:val="22"/>
              </w:rPr>
            </w:pPr>
            <w:r w:rsidRPr="00EF030F">
              <w:rPr>
                <w:rFonts w:ascii="Source Sans Pro" w:hAnsi="Source Sans Pro"/>
                <w:b/>
                <w:bCs/>
                <w:sz w:val="22"/>
                <w:szCs w:val="22"/>
              </w:rPr>
              <w:t>Y</w:t>
            </w:r>
          </w:p>
        </w:tc>
        <w:tc>
          <w:tcPr>
            <w:tcW w:w="360" w:type="dxa"/>
            <w:tcBorders>
              <w:top w:val="single" w:sz="4" w:space="0" w:color="auto"/>
              <w:bottom w:val="single" w:sz="4" w:space="0" w:color="auto"/>
            </w:tcBorders>
          </w:tcPr>
          <w:p w14:paraId="03D8489A" w14:textId="0C9C7818" w:rsidR="00EF030F" w:rsidRPr="00EF030F" w:rsidRDefault="00EF030F" w:rsidP="00706A32">
            <w:pPr>
              <w:spacing w:before="20" w:after="20" w:line="233" w:lineRule="auto"/>
              <w:rPr>
                <w:rFonts w:ascii="Source Sans Pro" w:hAnsi="Source Sans Pro"/>
                <w:b/>
                <w:bCs/>
                <w:sz w:val="22"/>
                <w:szCs w:val="22"/>
              </w:rPr>
            </w:pPr>
            <w:r w:rsidRPr="00EF030F">
              <w:rPr>
                <w:rFonts w:ascii="Source Sans Pro" w:hAnsi="Source Sans Pro"/>
                <w:b/>
                <w:bCs/>
                <w:sz w:val="22"/>
                <w:szCs w:val="22"/>
              </w:rPr>
              <w:t>N</w:t>
            </w:r>
          </w:p>
        </w:tc>
        <w:tc>
          <w:tcPr>
            <w:tcW w:w="5603" w:type="dxa"/>
            <w:tcBorders>
              <w:top w:val="single" w:sz="4" w:space="0" w:color="auto"/>
              <w:bottom w:val="single" w:sz="4" w:space="0" w:color="auto"/>
            </w:tcBorders>
          </w:tcPr>
          <w:p w14:paraId="1B65FF4F" w14:textId="070A379D" w:rsidR="00EF030F" w:rsidRPr="00EF030F" w:rsidRDefault="00EF030F" w:rsidP="00EF030F">
            <w:pPr>
              <w:widowControl/>
              <w:spacing w:before="20" w:after="20" w:line="233" w:lineRule="auto"/>
              <w:ind w:left="240"/>
              <w:rPr>
                <w:rFonts w:ascii="Source Sans Pro" w:hAnsi="Source Sans Pro"/>
                <w:b/>
                <w:bCs/>
                <w:snapToGrid/>
                <w:sz w:val="22"/>
                <w:szCs w:val="22"/>
              </w:rPr>
            </w:pPr>
            <w:r w:rsidRPr="00EF030F">
              <w:rPr>
                <w:rFonts w:ascii="Source Sans Pro" w:hAnsi="Source Sans Pro"/>
                <w:b/>
                <w:bCs/>
                <w:snapToGrid/>
                <w:sz w:val="22"/>
                <w:szCs w:val="22"/>
              </w:rPr>
              <w:t>Review Item</w:t>
            </w:r>
          </w:p>
        </w:tc>
        <w:tc>
          <w:tcPr>
            <w:tcW w:w="3960" w:type="dxa"/>
            <w:tcBorders>
              <w:top w:val="single" w:sz="4" w:space="0" w:color="auto"/>
              <w:bottom w:val="single" w:sz="4" w:space="0" w:color="auto"/>
            </w:tcBorders>
          </w:tcPr>
          <w:p w14:paraId="3300387E" w14:textId="799DBEBD" w:rsidR="00EF030F" w:rsidRPr="00EF030F" w:rsidRDefault="00EF030F" w:rsidP="00706A32">
            <w:pPr>
              <w:spacing w:before="20" w:after="20" w:line="233" w:lineRule="auto"/>
              <w:rPr>
                <w:rFonts w:ascii="Source Sans Pro" w:hAnsi="Source Sans Pro"/>
                <w:b/>
                <w:bCs/>
                <w:sz w:val="22"/>
                <w:szCs w:val="22"/>
              </w:rPr>
            </w:pPr>
            <w:r w:rsidRPr="00EF030F">
              <w:rPr>
                <w:rFonts w:ascii="Source Sans Pro" w:hAnsi="Source Sans Pro"/>
                <w:b/>
                <w:bCs/>
                <w:sz w:val="22"/>
                <w:szCs w:val="22"/>
              </w:rPr>
              <w:t>Comments</w:t>
            </w:r>
          </w:p>
        </w:tc>
      </w:tr>
      <w:tr w:rsidR="0046296F" w:rsidRPr="0046296F" w14:paraId="165F614E" w14:textId="77777777" w:rsidTr="00EF030F">
        <w:tc>
          <w:tcPr>
            <w:tcW w:w="337" w:type="dxa"/>
            <w:tcBorders>
              <w:top w:val="single" w:sz="4" w:space="0" w:color="auto"/>
              <w:bottom w:val="single" w:sz="4" w:space="0" w:color="auto"/>
            </w:tcBorders>
          </w:tcPr>
          <w:p w14:paraId="5F09B223" w14:textId="77777777" w:rsidR="0046296F" w:rsidRPr="0046296F" w:rsidRDefault="0046296F"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3973789F" w14:textId="75AF3ED0" w:rsidR="0046296F" w:rsidRPr="0046296F" w:rsidRDefault="0046296F"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1DE743E1" w14:textId="7029E13B" w:rsidR="0046296F" w:rsidRPr="0046296F" w:rsidRDefault="00F42626" w:rsidP="00AF6DD1">
            <w:pPr>
              <w:widowControl/>
              <w:numPr>
                <w:ilvl w:val="0"/>
                <w:numId w:val="9"/>
              </w:numPr>
              <w:tabs>
                <w:tab w:val="clear" w:pos="360"/>
                <w:tab w:val="num" w:pos="240"/>
              </w:tabs>
              <w:spacing w:before="20" w:after="20" w:line="233" w:lineRule="auto"/>
              <w:ind w:left="240" w:hanging="240"/>
              <w:rPr>
                <w:rFonts w:ascii="Source Sans Pro" w:hAnsi="Source Sans Pro"/>
                <w:snapToGrid/>
                <w:sz w:val="22"/>
                <w:szCs w:val="22"/>
              </w:rPr>
            </w:pPr>
            <w:r w:rsidRPr="00F42626">
              <w:rPr>
                <w:rFonts w:ascii="Source Sans Pro" w:hAnsi="Source Sans Pro"/>
                <w:snapToGrid/>
                <w:sz w:val="22"/>
                <w:szCs w:val="22"/>
              </w:rPr>
              <w:t>The designation of officials with authority to review and approve offering student loan repayment benefits;</w:t>
            </w:r>
          </w:p>
        </w:tc>
        <w:tc>
          <w:tcPr>
            <w:tcW w:w="3960" w:type="dxa"/>
            <w:tcBorders>
              <w:top w:val="single" w:sz="4" w:space="0" w:color="auto"/>
              <w:bottom w:val="single" w:sz="4" w:space="0" w:color="auto"/>
            </w:tcBorders>
          </w:tcPr>
          <w:p w14:paraId="4C23D997" w14:textId="77777777" w:rsidR="0046296F" w:rsidRPr="0046296F" w:rsidRDefault="0046296F" w:rsidP="00706A32">
            <w:pPr>
              <w:spacing w:before="20" w:after="20" w:line="233" w:lineRule="auto"/>
              <w:rPr>
                <w:rFonts w:ascii="Source Sans Pro" w:hAnsi="Source Sans Pro"/>
                <w:sz w:val="22"/>
                <w:szCs w:val="22"/>
                <w:highlight w:val="yellow"/>
              </w:rPr>
            </w:pPr>
          </w:p>
        </w:tc>
      </w:tr>
      <w:tr w:rsidR="00F42626" w:rsidRPr="0046296F" w14:paraId="5D9CA950" w14:textId="77777777" w:rsidTr="00EF030F">
        <w:tc>
          <w:tcPr>
            <w:tcW w:w="337" w:type="dxa"/>
            <w:tcBorders>
              <w:top w:val="single" w:sz="4" w:space="0" w:color="auto"/>
              <w:bottom w:val="single" w:sz="4" w:space="0" w:color="auto"/>
            </w:tcBorders>
          </w:tcPr>
          <w:p w14:paraId="7C1F2BAD" w14:textId="77777777" w:rsidR="00F42626" w:rsidRPr="0046296F" w:rsidRDefault="00F4262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2DC7A66F" w14:textId="06FB9210" w:rsidR="00F42626" w:rsidRPr="0046296F" w:rsidRDefault="00F4262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5F48BCD3" w14:textId="77777777" w:rsidR="00F42626" w:rsidRPr="0046296F" w:rsidRDefault="00F42626" w:rsidP="00AF6DD1">
            <w:pPr>
              <w:widowControl/>
              <w:numPr>
                <w:ilvl w:val="0"/>
                <w:numId w:val="9"/>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The situations when the loan repayment authority may be used;</w:t>
            </w:r>
          </w:p>
        </w:tc>
        <w:tc>
          <w:tcPr>
            <w:tcW w:w="3960" w:type="dxa"/>
            <w:tcBorders>
              <w:top w:val="single" w:sz="4" w:space="0" w:color="auto"/>
              <w:bottom w:val="single" w:sz="4" w:space="0" w:color="auto"/>
            </w:tcBorders>
          </w:tcPr>
          <w:p w14:paraId="0480D5F4" w14:textId="77777777" w:rsidR="00F42626" w:rsidRPr="0046296F" w:rsidRDefault="00F42626" w:rsidP="00706A32">
            <w:pPr>
              <w:spacing w:before="20" w:after="20" w:line="233" w:lineRule="auto"/>
              <w:rPr>
                <w:rFonts w:ascii="Source Sans Pro" w:hAnsi="Source Sans Pro"/>
                <w:sz w:val="22"/>
                <w:szCs w:val="22"/>
                <w:highlight w:val="yellow"/>
              </w:rPr>
            </w:pPr>
          </w:p>
        </w:tc>
      </w:tr>
      <w:tr w:rsidR="00F42626" w:rsidRPr="0046296F" w14:paraId="09954ADB" w14:textId="77777777" w:rsidTr="00EF030F">
        <w:tc>
          <w:tcPr>
            <w:tcW w:w="337" w:type="dxa"/>
            <w:tcBorders>
              <w:top w:val="single" w:sz="4" w:space="0" w:color="auto"/>
              <w:bottom w:val="single" w:sz="4" w:space="0" w:color="auto"/>
            </w:tcBorders>
          </w:tcPr>
          <w:p w14:paraId="023D4EE8" w14:textId="77777777" w:rsidR="00F42626" w:rsidRPr="0046296F" w:rsidRDefault="00F4262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5E183A54" w14:textId="1CEE6FA2" w:rsidR="00F42626" w:rsidRPr="0046296F" w:rsidRDefault="00F4262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6282814E" w14:textId="77777777" w:rsidR="00F42626" w:rsidRPr="0046296F" w:rsidRDefault="00F42626" w:rsidP="00AF6DD1">
            <w:pPr>
              <w:widowControl/>
              <w:numPr>
                <w:ilvl w:val="0"/>
                <w:numId w:val="9"/>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Criteria that must be met or considered in authorizing loan repayments, including criteria for determining the size and timing of payments;</w:t>
            </w:r>
          </w:p>
        </w:tc>
        <w:tc>
          <w:tcPr>
            <w:tcW w:w="3960" w:type="dxa"/>
            <w:tcBorders>
              <w:top w:val="single" w:sz="4" w:space="0" w:color="auto"/>
              <w:bottom w:val="single" w:sz="4" w:space="0" w:color="auto"/>
            </w:tcBorders>
          </w:tcPr>
          <w:p w14:paraId="43A7708B" w14:textId="77777777" w:rsidR="00F42626" w:rsidRPr="0046296F" w:rsidRDefault="00F42626" w:rsidP="00706A32">
            <w:pPr>
              <w:spacing w:before="20" w:after="20" w:line="233" w:lineRule="auto"/>
              <w:rPr>
                <w:rFonts w:ascii="Source Sans Pro" w:hAnsi="Source Sans Pro"/>
                <w:sz w:val="22"/>
                <w:szCs w:val="22"/>
                <w:highlight w:val="yellow"/>
              </w:rPr>
            </w:pPr>
          </w:p>
        </w:tc>
      </w:tr>
      <w:tr w:rsidR="00F42626" w:rsidRPr="0046296F" w14:paraId="56A030F8" w14:textId="77777777" w:rsidTr="00EF030F">
        <w:tc>
          <w:tcPr>
            <w:tcW w:w="337" w:type="dxa"/>
            <w:tcBorders>
              <w:top w:val="single" w:sz="4" w:space="0" w:color="auto"/>
              <w:bottom w:val="single" w:sz="4" w:space="0" w:color="auto"/>
            </w:tcBorders>
          </w:tcPr>
          <w:p w14:paraId="603AA4E0" w14:textId="77777777" w:rsidR="00F42626" w:rsidRPr="0046296F" w:rsidRDefault="00F4262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3F657C8A" w14:textId="24C62308" w:rsidR="00F42626" w:rsidRPr="0046296F" w:rsidRDefault="00F4262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336790D3" w14:textId="14E4D708" w:rsidR="00F42626" w:rsidRPr="0046296F" w:rsidRDefault="00F42626" w:rsidP="00AF6DD1">
            <w:pPr>
              <w:widowControl/>
              <w:numPr>
                <w:ilvl w:val="0"/>
                <w:numId w:val="9"/>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 xml:space="preserve">A system for selecting employees (or job candidates) to receive repayment benefits that </w:t>
            </w:r>
            <w:r w:rsidR="00163B8B" w:rsidRPr="0046296F">
              <w:rPr>
                <w:rFonts w:ascii="Source Sans Pro" w:hAnsi="Source Sans Pro"/>
                <w:snapToGrid/>
                <w:sz w:val="22"/>
                <w:szCs w:val="22"/>
              </w:rPr>
              <w:t>ensure</w:t>
            </w:r>
            <w:r w:rsidRPr="0046296F">
              <w:rPr>
                <w:rFonts w:ascii="Source Sans Pro" w:hAnsi="Source Sans Pro"/>
                <w:snapToGrid/>
                <w:sz w:val="22"/>
                <w:szCs w:val="22"/>
              </w:rPr>
              <w:t xml:space="preserve"> fair and equitable treatment;</w:t>
            </w:r>
          </w:p>
        </w:tc>
        <w:tc>
          <w:tcPr>
            <w:tcW w:w="3960" w:type="dxa"/>
            <w:tcBorders>
              <w:top w:val="single" w:sz="4" w:space="0" w:color="auto"/>
              <w:bottom w:val="single" w:sz="4" w:space="0" w:color="auto"/>
            </w:tcBorders>
          </w:tcPr>
          <w:p w14:paraId="272BCE90" w14:textId="77777777" w:rsidR="00F42626" w:rsidRPr="0046296F" w:rsidRDefault="00F42626" w:rsidP="00706A32">
            <w:pPr>
              <w:spacing w:before="20" w:after="20" w:line="233" w:lineRule="auto"/>
              <w:rPr>
                <w:rFonts w:ascii="Source Sans Pro" w:hAnsi="Source Sans Pro"/>
                <w:sz w:val="22"/>
                <w:szCs w:val="22"/>
                <w:highlight w:val="yellow"/>
              </w:rPr>
            </w:pPr>
          </w:p>
        </w:tc>
      </w:tr>
      <w:tr w:rsidR="00F42626" w:rsidRPr="0046296F" w14:paraId="74204513" w14:textId="77777777" w:rsidTr="00EF030F">
        <w:tc>
          <w:tcPr>
            <w:tcW w:w="337" w:type="dxa"/>
            <w:tcBorders>
              <w:top w:val="single" w:sz="4" w:space="0" w:color="auto"/>
              <w:bottom w:val="single" w:sz="4" w:space="0" w:color="auto"/>
            </w:tcBorders>
          </w:tcPr>
          <w:p w14:paraId="18C13D12" w14:textId="77777777" w:rsidR="00F42626" w:rsidRPr="0046296F" w:rsidRDefault="00F4262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5A837EF2" w14:textId="010E32D8" w:rsidR="00F42626" w:rsidRPr="0046296F" w:rsidRDefault="00F4262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01A9F67D" w14:textId="77777777" w:rsidR="00F42626" w:rsidRPr="0046296F" w:rsidRDefault="00F42626" w:rsidP="00AF6DD1">
            <w:pPr>
              <w:widowControl/>
              <w:numPr>
                <w:ilvl w:val="0"/>
                <w:numId w:val="9"/>
              </w:numPr>
              <w:tabs>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 xml:space="preserve">Requirements associated with service agreements (including a basis for determining the length of service to be required if it is greater than the statutory minimum); </w:t>
            </w:r>
          </w:p>
        </w:tc>
        <w:tc>
          <w:tcPr>
            <w:tcW w:w="3960" w:type="dxa"/>
            <w:tcBorders>
              <w:top w:val="single" w:sz="4" w:space="0" w:color="auto"/>
              <w:bottom w:val="single" w:sz="4" w:space="0" w:color="auto"/>
            </w:tcBorders>
          </w:tcPr>
          <w:p w14:paraId="7061D473" w14:textId="77777777" w:rsidR="00F42626" w:rsidRPr="0046296F" w:rsidRDefault="00F42626" w:rsidP="00706A32">
            <w:pPr>
              <w:spacing w:before="20" w:after="20" w:line="233" w:lineRule="auto"/>
              <w:rPr>
                <w:rFonts w:ascii="Source Sans Pro" w:hAnsi="Source Sans Pro"/>
                <w:sz w:val="22"/>
                <w:szCs w:val="22"/>
                <w:highlight w:val="yellow"/>
              </w:rPr>
            </w:pPr>
          </w:p>
        </w:tc>
      </w:tr>
      <w:tr w:rsidR="00602BE6" w:rsidRPr="0046296F" w14:paraId="1D7AB608" w14:textId="77777777" w:rsidTr="00EF030F">
        <w:tc>
          <w:tcPr>
            <w:tcW w:w="337" w:type="dxa"/>
            <w:tcBorders>
              <w:top w:val="single" w:sz="4" w:space="0" w:color="auto"/>
              <w:bottom w:val="single" w:sz="4" w:space="0" w:color="auto"/>
            </w:tcBorders>
          </w:tcPr>
          <w:p w14:paraId="01323252"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1506D4AE" w14:textId="57660DF4"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4219C48B" w14:textId="77777777" w:rsidR="00602BE6" w:rsidRPr="0046296F" w:rsidRDefault="00602BE6" w:rsidP="00AF6DD1">
            <w:pPr>
              <w:widowControl/>
              <w:numPr>
                <w:ilvl w:val="0"/>
                <w:numId w:val="9"/>
              </w:numPr>
              <w:tabs>
                <w:tab w:val="clear" w:pos="360"/>
                <w:tab w:val="num" w:pos="240"/>
                <w:tab w:val="num" w:pos="33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Procedures for making loan payments;</w:t>
            </w:r>
          </w:p>
        </w:tc>
        <w:tc>
          <w:tcPr>
            <w:tcW w:w="3960" w:type="dxa"/>
            <w:tcBorders>
              <w:top w:val="single" w:sz="4" w:space="0" w:color="auto"/>
              <w:bottom w:val="single" w:sz="4" w:space="0" w:color="auto"/>
            </w:tcBorders>
          </w:tcPr>
          <w:p w14:paraId="7195DE36"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391D96F9" w14:textId="77777777" w:rsidTr="00EF030F">
        <w:tc>
          <w:tcPr>
            <w:tcW w:w="337" w:type="dxa"/>
            <w:tcBorders>
              <w:top w:val="single" w:sz="4" w:space="0" w:color="auto"/>
              <w:bottom w:val="single" w:sz="4" w:space="0" w:color="auto"/>
            </w:tcBorders>
          </w:tcPr>
          <w:p w14:paraId="57305B0C"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07A6007D" w14:textId="1FC156EC"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066D7C01" w14:textId="437FF517" w:rsidR="00602BE6" w:rsidRPr="0046296F" w:rsidRDefault="00602BE6" w:rsidP="00AF6DD1">
            <w:pPr>
              <w:widowControl/>
              <w:numPr>
                <w:ilvl w:val="0"/>
                <w:numId w:val="9"/>
              </w:numPr>
              <w:tabs>
                <w:tab w:val="clear" w:pos="360"/>
                <w:tab w:val="num" w:pos="240"/>
                <w:tab w:val="num" w:pos="33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 xml:space="preserve">Provisions for recovering any amount outstanding from an employee who fails to satisfy a service agreement and conditions for </w:t>
            </w:r>
            <w:r w:rsidR="00163B8B" w:rsidRPr="0046296F">
              <w:rPr>
                <w:rFonts w:ascii="Source Sans Pro" w:hAnsi="Source Sans Pro"/>
                <w:snapToGrid/>
                <w:sz w:val="22"/>
                <w:szCs w:val="22"/>
              </w:rPr>
              <w:t>waving</w:t>
            </w:r>
            <w:r w:rsidRPr="0046296F">
              <w:rPr>
                <w:rFonts w:ascii="Source Sans Pro" w:hAnsi="Source Sans Pro"/>
                <w:snapToGrid/>
                <w:sz w:val="22"/>
                <w:szCs w:val="22"/>
              </w:rPr>
              <w:t xml:space="preserve"> an employee’s obligation to reimburse the agency for payments made; and</w:t>
            </w:r>
          </w:p>
        </w:tc>
        <w:tc>
          <w:tcPr>
            <w:tcW w:w="3960" w:type="dxa"/>
            <w:tcBorders>
              <w:top w:val="single" w:sz="4" w:space="0" w:color="auto"/>
              <w:bottom w:val="single" w:sz="4" w:space="0" w:color="auto"/>
            </w:tcBorders>
          </w:tcPr>
          <w:p w14:paraId="313AD582"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59B9A771" w14:textId="77777777" w:rsidTr="00EF030F">
        <w:tc>
          <w:tcPr>
            <w:tcW w:w="337" w:type="dxa"/>
            <w:tcBorders>
              <w:top w:val="single" w:sz="4" w:space="0" w:color="auto"/>
              <w:bottom w:val="single" w:sz="4" w:space="0" w:color="auto"/>
            </w:tcBorders>
          </w:tcPr>
          <w:p w14:paraId="624C054F"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3F359185" w14:textId="6BC43C59"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051C649A" w14:textId="77777777" w:rsidR="00602BE6" w:rsidRPr="0046296F" w:rsidRDefault="00602BE6" w:rsidP="00AF6DD1">
            <w:pPr>
              <w:widowControl/>
              <w:numPr>
                <w:ilvl w:val="0"/>
                <w:numId w:val="9"/>
              </w:numPr>
              <w:tabs>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Documentation and recordkeeping requirements sufficient to allow reconstruction of the action taken in each case.</w:t>
            </w:r>
          </w:p>
        </w:tc>
        <w:tc>
          <w:tcPr>
            <w:tcW w:w="3960" w:type="dxa"/>
            <w:tcBorders>
              <w:top w:val="single" w:sz="4" w:space="0" w:color="auto"/>
              <w:bottom w:val="single" w:sz="4" w:space="0" w:color="auto"/>
            </w:tcBorders>
          </w:tcPr>
          <w:p w14:paraId="2D4C0DC9"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20C63B27" w14:textId="77777777" w:rsidTr="00EF030F">
        <w:tc>
          <w:tcPr>
            <w:tcW w:w="337" w:type="dxa"/>
            <w:tcBorders>
              <w:top w:val="single" w:sz="4" w:space="0" w:color="auto"/>
              <w:bottom w:val="single" w:sz="4" w:space="0" w:color="auto"/>
            </w:tcBorders>
          </w:tcPr>
          <w:p w14:paraId="3CF2EDF5"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42598892" w14:textId="433AAC5B"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FD91FCD" w14:textId="19AFB557" w:rsidR="00602BE6" w:rsidRPr="0046296F" w:rsidRDefault="00602BE6" w:rsidP="003E205D">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An authorized agency official has approved loan repayment benefits to: [</w:t>
            </w:r>
            <w:hyperlink r:id="rId13" w:anchor="p-537.104(a)" w:history="1">
              <w:r w:rsidRPr="00C23902">
                <w:rPr>
                  <w:rStyle w:val="Hyperlink"/>
                  <w:rFonts w:ascii="Source Sans Pro" w:hAnsi="Source Sans Pro"/>
                  <w:snapToGrid/>
                  <w:sz w:val="22"/>
                  <w:szCs w:val="22"/>
                </w:rPr>
                <w:t>5 CFR 537.104(a)</w:t>
              </w:r>
            </w:hyperlink>
            <w:r w:rsidRPr="0046296F">
              <w:rPr>
                <w:rFonts w:ascii="Source Sans Pro" w:hAnsi="Source Sans Pro"/>
                <w:snapToGrid/>
                <w:sz w:val="22"/>
                <w:szCs w:val="22"/>
              </w:rPr>
              <w:t>]</w:t>
            </w:r>
          </w:p>
          <w:p w14:paraId="47A608B6" w14:textId="77777777" w:rsidR="00602BE6" w:rsidRPr="0046296F" w:rsidRDefault="00602BE6" w:rsidP="00AF6DD1">
            <w:pPr>
              <w:widowControl/>
              <w:numPr>
                <w:ilvl w:val="0"/>
                <w:numId w:val="28"/>
              </w:numPr>
              <w:tabs>
                <w:tab w:val="clear" w:pos="720"/>
                <w:tab w:val="num" w:pos="600"/>
              </w:tabs>
              <w:spacing w:before="20" w:after="20" w:line="233" w:lineRule="auto"/>
              <w:ind w:left="600"/>
              <w:rPr>
                <w:rFonts w:ascii="Source Sans Pro" w:hAnsi="Source Sans Pro"/>
                <w:snapToGrid/>
                <w:sz w:val="22"/>
                <w:szCs w:val="22"/>
              </w:rPr>
            </w:pPr>
            <w:r w:rsidRPr="0046296F">
              <w:rPr>
                <w:rFonts w:ascii="Source Sans Pro" w:hAnsi="Source Sans Pro"/>
                <w:snapToGrid/>
                <w:sz w:val="22"/>
                <w:szCs w:val="22"/>
              </w:rPr>
              <w:t>Recruit a highly qualified job candidate; or</w:t>
            </w:r>
          </w:p>
          <w:p w14:paraId="47A91717" w14:textId="1177B345" w:rsidR="00602BE6" w:rsidRPr="0046296F" w:rsidRDefault="00602BE6" w:rsidP="009A0D11">
            <w:pPr>
              <w:widowControl/>
              <w:numPr>
                <w:ilvl w:val="0"/>
                <w:numId w:val="28"/>
              </w:numPr>
              <w:tabs>
                <w:tab w:val="clear" w:pos="720"/>
                <w:tab w:val="num" w:pos="600"/>
              </w:tabs>
              <w:spacing w:before="20" w:after="20" w:line="233" w:lineRule="auto"/>
              <w:ind w:left="600"/>
              <w:rPr>
                <w:rFonts w:ascii="Source Sans Pro" w:hAnsi="Source Sans Pro"/>
                <w:snapToGrid/>
                <w:sz w:val="22"/>
                <w:szCs w:val="22"/>
              </w:rPr>
            </w:pPr>
            <w:r w:rsidRPr="009A0D11">
              <w:rPr>
                <w:rFonts w:ascii="Source Sans Pro" w:hAnsi="Source Sans Pro"/>
                <w:snapToGrid/>
                <w:sz w:val="22"/>
                <w:szCs w:val="22"/>
              </w:rPr>
              <w:t xml:space="preserve">Retain a highly qualified employee.  </w:t>
            </w:r>
          </w:p>
        </w:tc>
        <w:tc>
          <w:tcPr>
            <w:tcW w:w="3960" w:type="dxa"/>
            <w:tcBorders>
              <w:top w:val="single" w:sz="4" w:space="0" w:color="auto"/>
              <w:bottom w:val="single" w:sz="4" w:space="0" w:color="auto"/>
            </w:tcBorders>
          </w:tcPr>
          <w:p w14:paraId="3CE7B98D"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9A0D11" w:rsidRPr="0046296F" w14:paraId="2652CA9A" w14:textId="77777777" w:rsidTr="00EF030F">
        <w:tc>
          <w:tcPr>
            <w:tcW w:w="337" w:type="dxa"/>
            <w:tcBorders>
              <w:top w:val="single" w:sz="4" w:space="0" w:color="auto"/>
              <w:bottom w:val="single" w:sz="4" w:space="0" w:color="auto"/>
            </w:tcBorders>
          </w:tcPr>
          <w:p w14:paraId="1B28BF0F" w14:textId="77777777" w:rsidR="009A0D11" w:rsidRPr="0046296F" w:rsidRDefault="009A0D11"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05365A0D" w14:textId="77777777" w:rsidR="009A0D11" w:rsidRPr="0046296F" w:rsidRDefault="009A0D11"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A21C949" w14:textId="77777777" w:rsidR="009A0D11" w:rsidRPr="0046296F" w:rsidRDefault="009A0D11" w:rsidP="009A0D11">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 xml:space="preserve">If retaining a highly qualified employee, during the service period established under a service agreement (consistent with </w:t>
            </w:r>
            <w:hyperlink r:id="rId14" w:history="1">
              <w:r w:rsidRPr="00C23902">
                <w:rPr>
                  <w:rStyle w:val="Hyperlink"/>
                  <w:rFonts w:ascii="Source Sans Pro" w:hAnsi="Source Sans Pro"/>
                  <w:snapToGrid/>
                  <w:sz w:val="22"/>
                  <w:szCs w:val="22"/>
                </w:rPr>
                <w:t>5 CFR 537.107</w:t>
              </w:r>
            </w:hyperlink>
            <w:r w:rsidRPr="0046296F">
              <w:rPr>
                <w:rFonts w:ascii="Source Sans Pro" w:hAnsi="Source Sans Pro"/>
                <w:snapToGrid/>
                <w:sz w:val="22"/>
                <w:szCs w:val="22"/>
              </w:rPr>
              <w:t>), will be serving under—</w:t>
            </w:r>
          </w:p>
          <w:p w14:paraId="7D33EDC7" w14:textId="77777777" w:rsidR="009A0D11" w:rsidRPr="0046296F" w:rsidRDefault="009A0D11" w:rsidP="009A0D11">
            <w:pPr>
              <w:widowControl/>
              <w:spacing w:before="20" w:after="20" w:line="233" w:lineRule="auto"/>
              <w:ind w:left="720"/>
              <w:rPr>
                <w:rFonts w:ascii="Source Sans Pro" w:hAnsi="Source Sans Pro"/>
                <w:snapToGrid/>
                <w:sz w:val="22"/>
                <w:szCs w:val="22"/>
              </w:rPr>
            </w:pPr>
            <w:r w:rsidRPr="0046296F">
              <w:rPr>
                <w:rFonts w:ascii="Source Sans Pro" w:hAnsi="Source Sans Pro"/>
                <w:snapToGrid/>
                <w:sz w:val="22"/>
                <w:szCs w:val="22"/>
              </w:rPr>
              <w:t>(1) An appointment other than a time-limited appointment; or</w:t>
            </w:r>
          </w:p>
          <w:p w14:paraId="4C35D9A9" w14:textId="77777777" w:rsidR="009A0D11" w:rsidRPr="0046296F" w:rsidRDefault="009A0D11" w:rsidP="009A0D11">
            <w:pPr>
              <w:widowControl/>
              <w:spacing w:before="20" w:after="20" w:line="233" w:lineRule="auto"/>
              <w:ind w:left="720"/>
              <w:rPr>
                <w:rFonts w:ascii="Source Sans Pro" w:hAnsi="Source Sans Pro"/>
                <w:snapToGrid/>
                <w:sz w:val="22"/>
                <w:szCs w:val="22"/>
              </w:rPr>
            </w:pPr>
            <w:r w:rsidRPr="0046296F">
              <w:rPr>
                <w:rFonts w:ascii="Source Sans Pro" w:hAnsi="Source Sans Pro"/>
                <w:snapToGrid/>
                <w:sz w:val="22"/>
                <w:szCs w:val="22"/>
              </w:rPr>
              <w:lastRenderedPageBreak/>
              <w:t>(2) A time-limited appointment if—</w:t>
            </w:r>
          </w:p>
          <w:p w14:paraId="48EC17AA" w14:textId="77777777" w:rsidR="009A0D11" w:rsidRPr="0046296F" w:rsidRDefault="009A0D11" w:rsidP="009A0D11">
            <w:pPr>
              <w:widowControl/>
              <w:spacing w:before="20" w:after="20" w:line="233" w:lineRule="auto"/>
              <w:ind w:left="1440"/>
              <w:rPr>
                <w:rFonts w:ascii="Source Sans Pro" w:hAnsi="Source Sans Pro"/>
                <w:snapToGrid/>
                <w:sz w:val="22"/>
                <w:szCs w:val="22"/>
              </w:rPr>
            </w:pPr>
            <w:r w:rsidRPr="0046296F">
              <w:rPr>
                <w:rFonts w:ascii="Source Sans Pro" w:hAnsi="Source Sans Pro"/>
                <w:snapToGrid/>
                <w:sz w:val="22"/>
                <w:szCs w:val="22"/>
              </w:rPr>
              <w:t>(i) The employee (or job candidate) will have at least 3 years remaining under the appointment after the beginning of the service period established under a service agreement; or</w:t>
            </w:r>
          </w:p>
          <w:p w14:paraId="11295B29" w14:textId="2454A47C" w:rsidR="009A0D11" w:rsidRPr="0046296F" w:rsidRDefault="009A0D11" w:rsidP="009A0D11">
            <w:pPr>
              <w:widowControl/>
              <w:spacing w:before="20" w:after="20" w:line="233" w:lineRule="auto"/>
              <w:ind w:left="1410"/>
              <w:rPr>
                <w:rFonts w:ascii="Source Sans Pro" w:hAnsi="Source Sans Pro"/>
                <w:snapToGrid/>
                <w:sz w:val="22"/>
                <w:szCs w:val="22"/>
              </w:rPr>
            </w:pPr>
            <w:r w:rsidRPr="0046296F">
              <w:rPr>
                <w:rFonts w:ascii="Source Sans Pro" w:hAnsi="Source Sans Pro"/>
                <w:snapToGrid/>
                <w:sz w:val="22"/>
                <w:szCs w:val="22"/>
              </w:rPr>
              <w:t>(ii) The time-limited appointment authority leads to conversion to another appointment of sufficient duration so that his or her employment with the agency is projected to last for at least 3 additional years after the beginning of the service period established under a service agreement.</w:t>
            </w:r>
          </w:p>
        </w:tc>
        <w:tc>
          <w:tcPr>
            <w:tcW w:w="3960" w:type="dxa"/>
            <w:tcBorders>
              <w:top w:val="single" w:sz="4" w:space="0" w:color="auto"/>
              <w:bottom w:val="single" w:sz="4" w:space="0" w:color="auto"/>
            </w:tcBorders>
          </w:tcPr>
          <w:p w14:paraId="7A9AF916" w14:textId="77777777" w:rsidR="009A0D11" w:rsidRPr="0046296F" w:rsidRDefault="009A0D11" w:rsidP="00706A32">
            <w:pPr>
              <w:spacing w:before="20" w:after="20" w:line="233" w:lineRule="auto"/>
              <w:rPr>
                <w:rFonts w:ascii="Source Sans Pro" w:hAnsi="Source Sans Pro"/>
                <w:sz w:val="22"/>
                <w:szCs w:val="22"/>
                <w:highlight w:val="yellow"/>
              </w:rPr>
            </w:pPr>
          </w:p>
        </w:tc>
      </w:tr>
      <w:tr w:rsidR="00602BE6" w:rsidRPr="0046296F" w14:paraId="352E055D" w14:textId="77777777" w:rsidTr="00EF030F">
        <w:tc>
          <w:tcPr>
            <w:tcW w:w="337" w:type="dxa"/>
            <w:tcBorders>
              <w:top w:val="single" w:sz="4" w:space="0" w:color="auto"/>
              <w:bottom w:val="single" w:sz="4" w:space="0" w:color="auto"/>
            </w:tcBorders>
          </w:tcPr>
          <w:p w14:paraId="3FF750BD"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6FD81457" w14:textId="2C61D363"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4F915141" w14:textId="2F2E46E2" w:rsidR="00602BE6" w:rsidRPr="0046296F" w:rsidRDefault="00602BE6" w:rsidP="003E205D">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An employee is eligible for student loan repayment benefits if he/she is serving on: [</w:t>
            </w:r>
            <w:hyperlink r:id="rId15" w:history="1">
              <w:r w:rsidRPr="00E56E8A">
                <w:rPr>
                  <w:rStyle w:val="Hyperlink"/>
                  <w:rFonts w:ascii="Source Sans Pro" w:hAnsi="Source Sans Pro"/>
                  <w:snapToGrid/>
                  <w:sz w:val="22"/>
                  <w:szCs w:val="22"/>
                </w:rPr>
                <w:t>5 CFR 537.104</w:t>
              </w:r>
            </w:hyperlink>
            <w:r w:rsidRPr="0046296F">
              <w:rPr>
                <w:rFonts w:ascii="Source Sans Pro" w:hAnsi="Source Sans Pro"/>
                <w:snapToGrid/>
                <w:sz w:val="22"/>
                <w:szCs w:val="22"/>
              </w:rPr>
              <w:t>]</w:t>
            </w:r>
          </w:p>
          <w:p w14:paraId="14E70A00" w14:textId="77777777" w:rsidR="00602BE6" w:rsidRPr="0046296F" w:rsidRDefault="00602BE6" w:rsidP="005E5E6A">
            <w:pPr>
              <w:widowControl/>
              <w:numPr>
                <w:ilvl w:val="0"/>
                <w:numId w:val="24"/>
              </w:numPr>
              <w:tabs>
                <w:tab w:val="clear" w:pos="720"/>
                <w:tab w:val="num" w:pos="330"/>
              </w:tabs>
              <w:spacing w:before="20" w:after="20" w:line="233" w:lineRule="auto"/>
              <w:ind w:left="330" w:hanging="330"/>
              <w:rPr>
                <w:rFonts w:ascii="Source Sans Pro" w:hAnsi="Source Sans Pro"/>
                <w:snapToGrid/>
                <w:sz w:val="22"/>
                <w:szCs w:val="22"/>
              </w:rPr>
            </w:pPr>
            <w:r w:rsidRPr="0046296F">
              <w:rPr>
                <w:rFonts w:ascii="Source Sans Pro" w:hAnsi="Source Sans Pro"/>
                <w:snapToGrid/>
                <w:sz w:val="22"/>
                <w:szCs w:val="22"/>
              </w:rPr>
              <w:t>Other than a time-limited appointment; or</w:t>
            </w:r>
          </w:p>
          <w:p w14:paraId="7E775E3D" w14:textId="77777777" w:rsidR="00602BE6" w:rsidRPr="0046296F" w:rsidRDefault="00602BE6" w:rsidP="005E5E6A">
            <w:pPr>
              <w:widowControl/>
              <w:numPr>
                <w:ilvl w:val="0"/>
                <w:numId w:val="24"/>
              </w:numPr>
              <w:tabs>
                <w:tab w:val="clear" w:pos="720"/>
                <w:tab w:val="num" w:pos="330"/>
              </w:tabs>
              <w:spacing w:before="20" w:after="20" w:line="233" w:lineRule="auto"/>
              <w:ind w:left="330" w:hanging="330"/>
              <w:rPr>
                <w:rFonts w:ascii="Source Sans Pro" w:hAnsi="Source Sans Pro"/>
                <w:snapToGrid/>
                <w:sz w:val="22"/>
                <w:szCs w:val="22"/>
              </w:rPr>
            </w:pPr>
            <w:r w:rsidRPr="0046296F">
              <w:rPr>
                <w:rFonts w:ascii="Source Sans Pro" w:hAnsi="Source Sans Pro"/>
                <w:snapToGrid/>
                <w:sz w:val="22"/>
                <w:szCs w:val="22"/>
              </w:rPr>
              <w:t>A time-limited appointment if:</w:t>
            </w:r>
          </w:p>
          <w:p w14:paraId="44674BDC" w14:textId="77777777" w:rsidR="00602BE6" w:rsidRPr="0046296F" w:rsidRDefault="00602BE6" w:rsidP="005E5E6A">
            <w:pPr>
              <w:widowControl/>
              <w:numPr>
                <w:ilvl w:val="0"/>
                <w:numId w:val="15"/>
              </w:numPr>
              <w:tabs>
                <w:tab w:val="clear" w:pos="720"/>
                <w:tab w:val="num" w:pos="600"/>
              </w:tabs>
              <w:spacing w:before="20" w:after="20" w:line="233" w:lineRule="auto"/>
              <w:ind w:left="600" w:hanging="270"/>
              <w:rPr>
                <w:rFonts w:ascii="Source Sans Pro" w:hAnsi="Source Sans Pro"/>
                <w:snapToGrid/>
                <w:sz w:val="22"/>
                <w:szCs w:val="22"/>
              </w:rPr>
            </w:pPr>
            <w:r w:rsidRPr="0046296F">
              <w:rPr>
                <w:rFonts w:ascii="Source Sans Pro" w:hAnsi="Source Sans Pro"/>
                <w:snapToGrid/>
                <w:sz w:val="22"/>
                <w:szCs w:val="22"/>
              </w:rPr>
              <w:t>The employee will have at least three years remaining under the appointment after the beginning of the service period; or</w:t>
            </w:r>
          </w:p>
          <w:p w14:paraId="49D620F2" w14:textId="77777777" w:rsidR="00602BE6" w:rsidRPr="0046296F" w:rsidRDefault="00602BE6" w:rsidP="005E5E6A">
            <w:pPr>
              <w:widowControl/>
              <w:numPr>
                <w:ilvl w:val="0"/>
                <w:numId w:val="15"/>
              </w:numPr>
              <w:tabs>
                <w:tab w:val="clear" w:pos="720"/>
                <w:tab w:val="num" w:pos="600"/>
              </w:tabs>
              <w:spacing w:before="20" w:after="20" w:line="233" w:lineRule="auto"/>
              <w:ind w:left="600" w:hanging="270"/>
              <w:rPr>
                <w:rFonts w:ascii="Source Sans Pro" w:hAnsi="Source Sans Pro"/>
                <w:snapToGrid/>
                <w:sz w:val="22"/>
                <w:szCs w:val="22"/>
              </w:rPr>
            </w:pPr>
            <w:r w:rsidRPr="0046296F">
              <w:rPr>
                <w:rFonts w:ascii="Source Sans Pro" w:hAnsi="Source Sans Pro"/>
                <w:snapToGrid/>
                <w:sz w:val="22"/>
                <w:szCs w:val="22"/>
              </w:rPr>
              <w:t>The appointment leads to conversion to another appointment of sufficient duration so that projected employment will last for at least three additional years after the beginning of the service period.</w:t>
            </w:r>
          </w:p>
        </w:tc>
        <w:tc>
          <w:tcPr>
            <w:tcW w:w="3960" w:type="dxa"/>
            <w:tcBorders>
              <w:top w:val="single" w:sz="4" w:space="0" w:color="auto"/>
              <w:bottom w:val="single" w:sz="4" w:space="0" w:color="auto"/>
            </w:tcBorders>
          </w:tcPr>
          <w:p w14:paraId="36BABE94"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422A3CA7" w14:textId="77777777" w:rsidTr="00EF030F">
        <w:tc>
          <w:tcPr>
            <w:tcW w:w="337" w:type="dxa"/>
            <w:tcBorders>
              <w:top w:val="single" w:sz="4" w:space="0" w:color="auto"/>
              <w:bottom w:val="single" w:sz="2" w:space="0" w:color="auto"/>
            </w:tcBorders>
          </w:tcPr>
          <w:p w14:paraId="601CAC1C"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2" w:space="0" w:color="auto"/>
            </w:tcBorders>
          </w:tcPr>
          <w:p w14:paraId="41909335" w14:textId="3A0EAD57"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2" w:space="0" w:color="auto"/>
            </w:tcBorders>
          </w:tcPr>
          <w:p w14:paraId="626C2A99" w14:textId="215F2361" w:rsidR="00602BE6" w:rsidRPr="0046296F" w:rsidRDefault="00602BE6" w:rsidP="00543FE8">
            <w:pPr>
              <w:widowControl/>
              <w:spacing w:before="20" w:after="20" w:line="233" w:lineRule="auto"/>
              <w:rPr>
                <w:rFonts w:ascii="Source Sans Pro" w:hAnsi="Source Sans Pro"/>
                <w:snapToGrid/>
                <w:sz w:val="22"/>
                <w:szCs w:val="22"/>
                <w:highlight w:val="yellow"/>
              </w:rPr>
            </w:pPr>
            <w:r w:rsidRPr="0046296F">
              <w:rPr>
                <w:rFonts w:ascii="Source Sans Pro" w:hAnsi="Source Sans Pro"/>
                <w:snapToGrid/>
                <w:sz w:val="22"/>
                <w:szCs w:val="22"/>
              </w:rPr>
              <w:t xml:space="preserve">An employee is </w:t>
            </w:r>
            <w:r w:rsidRPr="0046296F">
              <w:rPr>
                <w:rFonts w:ascii="Source Sans Pro" w:hAnsi="Source Sans Pro"/>
                <w:snapToGrid/>
                <w:sz w:val="22"/>
                <w:szCs w:val="22"/>
                <w:u w:val="single"/>
              </w:rPr>
              <w:t xml:space="preserve">ineligible </w:t>
            </w:r>
            <w:r w:rsidRPr="0046296F">
              <w:rPr>
                <w:rFonts w:ascii="Source Sans Pro" w:hAnsi="Source Sans Pro"/>
                <w:snapToGrid/>
                <w:sz w:val="22"/>
                <w:szCs w:val="22"/>
              </w:rPr>
              <w:t>for loan repayment benefits if he/she occupies an excepted service position of a confidential, policy-making nature. [</w:t>
            </w:r>
            <w:hyperlink r:id="rId16" w:history="1">
              <w:r w:rsidRPr="00F108C2">
                <w:rPr>
                  <w:rStyle w:val="Hyperlink"/>
                  <w:rFonts w:ascii="Source Sans Pro" w:hAnsi="Source Sans Pro"/>
                  <w:snapToGrid/>
                  <w:sz w:val="22"/>
                  <w:szCs w:val="22"/>
                </w:rPr>
                <w:t>5 U.S.C. 5379(a)(2)</w:t>
              </w:r>
            </w:hyperlink>
            <w:r w:rsidRPr="0046296F">
              <w:rPr>
                <w:rFonts w:ascii="Source Sans Pro" w:hAnsi="Source Sans Pro"/>
                <w:snapToGrid/>
                <w:sz w:val="22"/>
                <w:szCs w:val="22"/>
              </w:rPr>
              <w:t xml:space="preserve">; </w:t>
            </w:r>
            <w:hyperlink r:id="rId17" w:anchor="p-537.104(b)" w:history="1">
              <w:r w:rsidRPr="00E56E8A">
                <w:rPr>
                  <w:rStyle w:val="Hyperlink"/>
                  <w:rFonts w:ascii="Source Sans Pro" w:hAnsi="Source Sans Pro"/>
                  <w:snapToGrid/>
                  <w:sz w:val="22"/>
                  <w:szCs w:val="22"/>
                </w:rPr>
                <w:t>5 CFR 537.104(b)</w:t>
              </w:r>
            </w:hyperlink>
            <w:r w:rsidRPr="0046296F">
              <w:rPr>
                <w:rFonts w:ascii="Source Sans Pro" w:hAnsi="Source Sans Pro"/>
                <w:snapToGrid/>
                <w:sz w:val="22"/>
                <w:szCs w:val="22"/>
              </w:rPr>
              <w:t>]</w:t>
            </w:r>
          </w:p>
        </w:tc>
        <w:tc>
          <w:tcPr>
            <w:tcW w:w="3960" w:type="dxa"/>
            <w:tcBorders>
              <w:top w:val="single" w:sz="4" w:space="0" w:color="auto"/>
              <w:bottom w:val="single" w:sz="2" w:space="0" w:color="auto"/>
            </w:tcBorders>
          </w:tcPr>
          <w:p w14:paraId="6AAB2152"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1075CB43" w14:textId="77777777" w:rsidTr="00EF030F">
        <w:trPr>
          <w:cantSplit/>
        </w:trPr>
        <w:tc>
          <w:tcPr>
            <w:tcW w:w="337" w:type="dxa"/>
            <w:tcBorders>
              <w:top w:val="nil"/>
              <w:bottom w:val="single" w:sz="2" w:space="0" w:color="auto"/>
            </w:tcBorders>
          </w:tcPr>
          <w:p w14:paraId="4B9DF01A"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nil"/>
              <w:bottom w:val="single" w:sz="2" w:space="0" w:color="auto"/>
            </w:tcBorders>
          </w:tcPr>
          <w:p w14:paraId="6965A1CA" w14:textId="7ABD4F73" w:rsidR="00602BE6" w:rsidRPr="0046296F" w:rsidRDefault="00602BE6" w:rsidP="00706A32">
            <w:pPr>
              <w:spacing w:before="20" w:after="20" w:line="233" w:lineRule="auto"/>
              <w:rPr>
                <w:rFonts w:ascii="Source Sans Pro" w:hAnsi="Source Sans Pro"/>
                <w:sz w:val="22"/>
                <w:szCs w:val="22"/>
              </w:rPr>
            </w:pPr>
          </w:p>
        </w:tc>
        <w:tc>
          <w:tcPr>
            <w:tcW w:w="5603" w:type="dxa"/>
            <w:tcBorders>
              <w:top w:val="nil"/>
              <w:bottom w:val="single" w:sz="2" w:space="0" w:color="auto"/>
            </w:tcBorders>
          </w:tcPr>
          <w:p w14:paraId="7AFCBB64" w14:textId="77777777" w:rsidR="00602BE6" w:rsidRPr="0046296F" w:rsidRDefault="00602BE6" w:rsidP="00303673">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 xml:space="preserve">Before authorizing loan repayment benefits, an agency must make a written determination that the employee (or job candidate) is highly qualified and otherwise eligible. </w:t>
            </w:r>
          </w:p>
          <w:p w14:paraId="4CADD294" w14:textId="73F14706" w:rsidR="00602BE6" w:rsidRPr="0046296F" w:rsidRDefault="00602BE6" w:rsidP="00303673">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w:t>
            </w:r>
            <w:hyperlink r:id="rId18" w:anchor="p-537.105(a)" w:history="1">
              <w:r w:rsidRPr="00D2458B">
                <w:rPr>
                  <w:rStyle w:val="Hyperlink"/>
                  <w:rFonts w:ascii="Source Sans Pro" w:hAnsi="Source Sans Pro"/>
                  <w:snapToGrid/>
                  <w:sz w:val="22"/>
                  <w:szCs w:val="22"/>
                </w:rPr>
                <w:t>5 CFR 537.105(a)</w:t>
              </w:r>
            </w:hyperlink>
            <w:r w:rsidRPr="0046296F">
              <w:rPr>
                <w:rFonts w:ascii="Source Sans Pro" w:hAnsi="Source Sans Pro"/>
                <w:snapToGrid/>
                <w:sz w:val="22"/>
                <w:szCs w:val="22"/>
              </w:rPr>
              <w:t>] Additionally:</w:t>
            </w:r>
          </w:p>
          <w:p w14:paraId="43745D4B" w14:textId="4F2F221D" w:rsidR="00602BE6" w:rsidRPr="0046296F" w:rsidRDefault="00602BE6" w:rsidP="00AF6DD1">
            <w:pPr>
              <w:widowControl/>
              <w:numPr>
                <w:ilvl w:val="0"/>
                <w:numId w:val="27"/>
              </w:numPr>
              <w:tabs>
                <w:tab w:val="clear" w:pos="720"/>
                <w:tab w:val="num" w:pos="510"/>
              </w:tabs>
              <w:spacing w:before="20" w:after="20" w:line="233" w:lineRule="auto"/>
              <w:ind w:left="510" w:hanging="270"/>
              <w:rPr>
                <w:rFonts w:ascii="Source Sans Pro" w:hAnsi="Source Sans Pro"/>
                <w:snapToGrid/>
                <w:sz w:val="22"/>
                <w:szCs w:val="22"/>
              </w:rPr>
            </w:pPr>
            <w:r w:rsidRPr="0046296F">
              <w:rPr>
                <w:rFonts w:ascii="Source Sans Pro" w:hAnsi="Source Sans Pro"/>
                <w:snapToGrid/>
                <w:sz w:val="22"/>
                <w:szCs w:val="22"/>
              </w:rPr>
              <w:t>If granted to recruit a job candidate, the agency would otherwise encounter difficulty in filling a position with a highly qualified individual. [</w:t>
            </w:r>
            <w:hyperlink r:id="rId19" w:anchor="p-537.105(a)(2)(i)" w:history="1">
              <w:r w:rsidRPr="00DE6322">
                <w:rPr>
                  <w:rStyle w:val="Hyperlink"/>
                  <w:rFonts w:ascii="Source Sans Pro" w:hAnsi="Source Sans Pro"/>
                  <w:snapToGrid/>
                  <w:sz w:val="22"/>
                  <w:szCs w:val="22"/>
                </w:rPr>
                <w:t>5 CFR 537.105(a)(2)(i)</w:t>
              </w:r>
            </w:hyperlink>
            <w:r w:rsidRPr="0046296F">
              <w:rPr>
                <w:rFonts w:ascii="Source Sans Pro" w:hAnsi="Source Sans Pro"/>
                <w:snapToGrid/>
                <w:sz w:val="22"/>
                <w:szCs w:val="22"/>
              </w:rPr>
              <w:t xml:space="preserve">]  </w:t>
            </w:r>
          </w:p>
          <w:p w14:paraId="622BE4CE" w14:textId="13747E17" w:rsidR="00602BE6" w:rsidRPr="0046296F" w:rsidRDefault="00602BE6" w:rsidP="00AF6DD1">
            <w:pPr>
              <w:widowControl/>
              <w:numPr>
                <w:ilvl w:val="0"/>
                <w:numId w:val="27"/>
              </w:numPr>
              <w:tabs>
                <w:tab w:val="clear" w:pos="720"/>
                <w:tab w:val="num" w:pos="510"/>
              </w:tabs>
              <w:spacing w:before="20" w:after="20" w:line="233" w:lineRule="auto"/>
              <w:ind w:left="510" w:hanging="270"/>
              <w:rPr>
                <w:rFonts w:ascii="Source Sans Pro" w:hAnsi="Source Sans Pro"/>
                <w:snapToGrid/>
                <w:sz w:val="22"/>
                <w:szCs w:val="22"/>
              </w:rPr>
            </w:pPr>
            <w:r w:rsidRPr="0046296F">
              <w:rPr>
                <w:rFonts w:ascii="Source Sans Pro" w:hAnsi="Source Sans Pro"/>
                <w:snapToGrid/>
                <w:sz w:val="22"/>
                <w:szCs w:val="22"/>
              </w:rPr>
              <w:t>If granted to retain a current agency employee, the individual is likely to leave the agency for employment outside the Federal service and it is essential to retain the employee’s high or unique qualification or a special need of the agency. [</w:t>
            </w:r>
            <w:hyperlink r:id="rId20" w:anchor="p-537.105(a)(2)(ii)" w:history="1">
              <w:r w:rsidRPr="00DE6322">
                <w:rPr>
                  <w:rStyle w:val="Hyperlink"/>
                  <w:rFonts w:ascii="Source Sans Pro" w:hAnsi="Source Sans Pro"/>
                  <w:snapToGrid/>
                  <w:sz w:val="22"/>
                  <w:szCs w:val="22"/>
                </w:rPr>
                <w:t>5 CFR 537.105(a)(2)(ii)</w:t>
              </w:r>
            </w:hyperlink>
            <w:r w:rsidRPr="0046296F">
              <w:rPr>
                <w:rFonts w:ascii="Source Sans Pro" w:hAnsi="Source Sans Pro"/>
                <w:snapToGrid/>
                <w:sz w:val="22"/>
                <w:szCs w:val="22"/>
              </w:rPr>
              <w:t>]</w:t>
            </w:r>
          </w:p>
        </w:tc>
        <w:tc>
          <w:tcPr>
            <w:tcW w:w="3960" w:type="dxa"/>
            <w:tcBorders>
              <w:top w:val="nil"/>
              <w:bottom w:val="single" w:sz="2" w:space="0" w:color="auto"/>
            </w:tcBorders>
          </w:tcPr>
          <w:p w14:paraId="48F59584"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15212186" w14:textId="77777777" w:rsidTr="00EF030F">
        <w:tc>
          <w:tcPr>
            <w:tcW w:w="337" w:type="dxa"/>
            <w:tcBorders>
              <w:top w:val="single" w:sz="2" w:space="0" w:color="auto"/>
              <w:bottom w:val="single" w:sz="4" w:space="0" w:color="auto"/>
            </w:tcBorders>
          </w:tcPr>
          <w:p w14:paraId="5DCBEE3C"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2" w:space="0" w:color="auto"/>
              <w:bottom w:val="single" w:sz="4" w:space="0" w:color="auto"/>
            </w:tcBorders>
          </w:tcPr>
          <w:p w14:paraId="120388CF" w14:textId="45C2D0AA"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2" w:space="0" w:color="auto"/>
              <w:bottom w:val="single" w:sz="4" w:space="0" w:color="auto"/>
            </w:tcBorders>
          </w:tcPr>
          <w:p w14:paraId="2CA41AE8" w14:textId="789755C5" w:rsidR="00602BE6" w:rsidRPr="0046296F" w:rsidRDefault="00602BE6" w:rsidP="00706A32">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Student loan repayment benefits to employees meet the following conditions: [</w:t>
            </w:r>
            <w:hyperlink r:id="rId21" w:anchor="p-537.106(c)" w:history="1">
              <w:r w:rsidRPr="00A04D44">
                <w:rPr>
                  <w:rStyle w:val="Hyperlink"/>
                  <w:rFonts w:ascii="Source Sans Pro" w:hAnsi="Source Sans Pro"/>
                  <w:snapToGrid/>
                  <w:sz w:val="22"/>
                  <w:szCs w:val="22"/>
                </w:rPr>
                <w:t>5 CFR 537.106</w:t>
              </w:r>
            </w:hyperlink>
            <w:r w:rsidRPr="0046296F">
              <w:rPr>
                <w:rFonts w:ascii="Source Sans Pro" w:hAnsi="Source Sans Pro"/>
                <w:snapToGrid/>
                <w:sz w:val="22"/>
                <w:szCs w:val="22"/>
              </w:rPr>
              <w:t>]</w:t>
            </w:r>
          </w:p>
          <w:p w14:paraId="2EA9087B" w14:textId="77777777" w:rsidR="00602BE6" w:rsidRPr="0046296F" w:rsidRDefault="00602BE6" w:rsidP="00FA170B">
            <w:pPr>
              <w:widowControl/>
              <w:numPr>
                <w:ilvl w:val="0"/>
                <w:numId w:val="3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Student loan is qualifying</w:t>
            </w:r>
          </w:p>
          <w:p w14:paraId="25B71420" w14:textId="77777777" w:rsidR="00602BE6" w:rsidRPr="0046296F" w:rsidRDefault="00602BE6" w:rsidP="00FA170B">
            <w:pPr>
              <w:widowControl/>
              <w:numPr>
                <w:ilvl w:val="0"/>
                <w:numId w:val="3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lastRenderedPageBreak/>
              <w:t>Each loan approval is documented in writing</w:t>
            </w:r>
          </w:p>
          <w:p w14:paraId="7B8BE75D" w14:textId="77777777" w:rsidR="00602BE6" w:rsidRPr="0046296F" w:rsidRDefault="00602BE6" w:rsidP="00FA170B">
            <w:pPr>
              <w:widowControl/>
              <w:numPr>
                <w:ilvl w:val="0"/>
                <w:numId w:val="3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Benefits are approved in connection with recruitment action before the job candidate actually enters on duty</w:t>
            </w:r>
          </w:p>
        </w:tc>
        <w:tc>
          <w:tcPr>
            <w:tcW w:w="3960" w:type="dxa"/>
            <w:tcBorders>
              <w:top w:val="single" w:sz="2" w:space="0" w:color="auto"/>
              <w:bottom w:val="single" w:sz="4" w:space="0" w:color="auto"/>
            </w:tcBorders>
          </w:tcPr>
          <w:p w14:paraId="4137CF86"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0D673E1C" w14:textId="77777777" w:rsidTr="00EF030F">
        <w:tc>
          <w:tcPr>
            <w:tcW w:w="337" w:type="dxa"/>
            <w:tcBorders>
              <w:top w:val="single" w:sz="4" w:space="0" w:color="auto"/>
              <w:bottom w:val="single" w:sz="4" w:space="0" w:color="auto"/>
            </w:tcBorders>
          </w:tcPr>
          <w:p w14:paraId="5BBFCB62"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330FBCFD" w14:textId="6EC6CD53"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DD20F4C" w14:textId="47BC844D" w:rsidR="00602BE6" w:rsidRPr="0046296F" w:rsidRDefault="00602BE6" w:rsidP="00706A32">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Loan repayments follow appropriate procedures and do not exceed the maximum pay limits of: [</w:t>
            </w:r>
            <w:hyperlink r:id="rId22" w:history="1">
              <w:r w:rsidRPr="006733FC">
                <w:rPr>
                  <w:rStyle w:val="Hyperlink"/>
                  <w:rFonts w:ascii="Source Sans Pro" w:hAnsi="Source Sans Pro"/>
                  <w:snapToGrid/>
                  <w:sz w:val="22"/>
                  <w:szCs w:val="22"/>
                </w:rPr>
                <w:t>5 U.S.C. 5379(b)(1)</w:t>
              </w:r>
            </w:hyperlink>
            <w:r w:rsidRPr="0046296F">
              <w:rPr>
                <w:rFonts w:ascii="Source Sans Pro" w:hAnsi="Source Sans Pro"/>
                <w:snapToGrid/>
                <w:sz w:val="22"/>
                <w:szCs w:val="22"/>
              </w:rPr>
              <w:t xml:space="preserve">; </w:t>
            </w:r>
            <w:hyperlink r:id="rId23" w:anchor="p-537.106(c)" w:history="1">
              <w:r w:rsidRPr="00A04D44">
                <w:rPr>
                  <w:rStyle w:val="Hyperlink"/>
                  <w:rFonts w:ascii="Source Sans Pro" w:hAnsi="Source Sans Pro"/>
                  <w:snapToGrid/>
                  <w:sz w:val="22"/>
                  <w:szCs w:val="22"/>
                </w:rPr>
                <w:t>5 CFR 537.106(c)</w:t>
              </w:r>
            </w:hyperlink>
            <w:r w:rsidRPr="0046296F">
              <w:rPr>
                <w:rFonts w:ascii="Source Sans Pro" w:hAnsi="Source Sans Pro"/>
                <w:snapToGrid/>
                <w:sz w:val="22"/>
                <w:szCs w:val="22"/>
              </w:rPr>
              <w:t>]</w:t>
            </w:r>
          </w:p>
          <w:p w14:paraId="7EA1CB32" w14:textId="77777777" w:rsidR="00602BE6" w:rsidRPr="0046296F" w:rsidRDefault="00602BE6" w:rsidP="00AF6DD1">
            <w:pPr>
              <w:widowControl/>
              <w:numPr>
                <w:ilvl w:val="0"/>
                <w:numId w:val="21"/>
              </w:numPr>
              <w:tabs>
                <w:tab w:val="clear" w:pos="720"/>
                <w:tab w:val="num" w:pos="510"/>
              </w:tabs>
              <w:spacing w:before="20" w:after="20" w:line="233" w:lineRule="auto"/>
              <w:ind w:left="510" w:hanging="270"/>
              <w:rPr>
                <w:rFonts w:ascii="Source Sans Pro" w:hAnsi="Source Sans Pro"/>
                <w:snapToGrid/>
                <w:sz w:val="22"/>
                <w:szCs w:val="22"/>
              </w:rPr>
            </w:pPr>
            <w:r w:rsidRPr="0046296F">
              <w:rPr>
                <w:rFonts w:ascii="Source Sans Pro" w:hAnsi="Source Sans Pro"/>
                <w:snapToGrid/>
                <w:sz w:val="22"/>
                <w:szCs w:val="22"/>
              </w:rPr>
              <w:t>$10,000 per employee per calendar year; and</w:t>
            </w:r>
          </w:p>
          <w:p w14:paraId="1FFD2F48" w14:textId="77777777" w:rsidR="00602BE6" w:rsidRPr="0046296F" w:rsidRDefault="00602BE6" w:rsidP="00AF6DD1">
            <w:pPr>
              <w:widowControl/>
              <w:numPr>
                <w:ilvl w:val="0"/>
                <w:numId w:val="21"/>
              </w:numPr>
              <w:tabs>
                <w:tab w:val="clear" w:pos="720"/>
                <w:tab w:val="num" w:pos="510"/>
              </w:tabs>
              <w:spacing w:before="20" w:after="20" w:line="233" w:lineRule="auto"/>
              <w:ind w:left="510" w:hanging="270"/>
              <w:rPr>
                <w:rFonts w:ascii="Source Sans Pro" w:hAnsi="Source Sans Pro"/>
                <w:snapToGrid/>
                <w:sz w:val="22"/>
                <w:szCs w:val="22"/>
              </w:rPr>
            </w:pPr>
            <w:r w:rsidRPr="0046296F">
              <w:rPr>
                <w:rFonts w:ascii="Source Sans Pro" w:hAnsi="Source Sans Pro"/>
                <w:snapToGrid/>
                <w:sz w:val="22"/>
                <w:szCs w:val="22"/>
              </w:rPr>
              <w:t xml:space="preserve">A total of $60,000 per employee. </w:t>
            </w:r>
          </w:p>
        </w:tc>
        <w:tc>
          <w:tcPr>
            <w:tcW w:w="3960" w:type="dxa"/>
            <w:tcBorders>
              <w:top w:val="single" w:sz="4" w:space="0" w:color="auto"/>
              <w:bottom w:val="single" w:sz="4" w:space="0" w:color="auto"/>
            </w:tcBorders>
          </w:tcPr>
          <w:p w14:paraId="4F0BA935"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06FE2834" w14:textId="77777777" w:rsidTr="00EF030F">
        <w:tc>
          <w:tcPr>
            <w:tcW w:w="337" w:type="dxa"/>
            <w:tcBorders>
              <w:top w:val="single" w:sz="4" w:space="0" w:color="auto"/>
              <w:bottom w:val="single" w:sz="4" w:space="0" w:color="auto"/>
            </w:tcBorders>
          </w:tcPr>
          <w:p w14:paraId="4C77B5BE"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4CC66235" w14:textId="6E2CEC72"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1B26145" w14:textId="14E144FF" w:rsidR="00602BE6" w:rsidRPr="0046296F" w:rsidRDefault="00602BE6" w:rsidP="00FA170B">
            <w:pPr>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The signed written service agreement includes: [</w:t>
            </w:r>
            <w:hyperlink r:id="rId24" w:history="1">
              <w:r w:rsidRPr="00036D84">
                <w:rPr>
                  <w:rStyle w:val="Hyperlink"/>
                  <w:rFonts w:ascii="Source Sans Pro" w:hAnsi="Source Sans Pro"/>
                  <w:snapToGrid/>
                  <w:sz w:val="22"/>
                  <w:szCs w:val="22"/>
                </w:rPr>
                <w:t>5 CFR 537.107</w:t>
              </w:r>
            </w:hyperlink>
            <w:r w:rsidRPr="0046296F">
              <w:rPr>
                <w:rFonts w:ascii="Source Sans Pro" w:hAnsi="Source Sans Pro"/>
                <w:snapToGrid/>
                <w:sz w:val="22"/>
                <w:szCs w:val="22"/>
              </w:rPr>
              <w:t>]</w:t>
            </w:r>
          </w:p>
          <w:p w14:paraId="634A81FC" w14:textId="77777777" w:rsidR="00602BE6" w:rsidRPr="0046296F" w:rsidRDefault="00602BE6" w:rsidP="00FA170B">
            <w:pPr>
              <w:widowControl/>
              <w:numPr>
                <w:ilvl w:val="0"/>
                <w:numId w:val="31"/>
              </w:numPr>
              <w:tabs>
                <w:tab w:val="clear" w:pos="720"/>
                <w:tab w:val="num" w:pos="240"/>
              </w:tabs>
              <w:spacing w:before="20" w:after="20" w:line="233" w:lineRule="auto"/>
              <w:ind w:left="240" w:hanging="270"/>
              <w:rPr>
                <w:rFonts w:ascii="Source Sans Pro" w:hAnsi="Source Sans Pro"/>
                <w:snapToGrid/>
                <w:sz w:val="22"/>
                <w:szCs w:val="22"/>
              </w:rPr>
            </w:pPr>
            <w:r w:rsidRPr="0046296F">
              <w:rPr>
                <w:rFonts w:ascii="Source Sans Pro" w:hAnsi="Source Sans Pro"/>
                <w:snapToGrid/>
                <w:sz w:val="22"/>
                <w:szCs w:val="22"/>
              </w:rPr>
              <w:t>Minimum period of employment under a service agreement must be three years.</w:t>
            </w:r>
          </w:p>
          <w:p w14:paraId="3C698C5F" w14:textId="77777777" w:rsidR="00602BE6" w:rsidRPr="0046296F" w:rsidRDefault="00602BE6" w:rsidP="00FA170B">
            <w:pPr>
              <w:widowControl/>
              <w:numPr>
                <w:ilvl w:val="0"/>
                <w:numId w:val="31"/>
              </w:numPr>
              <w:tabs>
                <w:tab w:val="clear" w:pos="720"/>
                <w:tab w:val="num" w:pos="240"/>
              </w:tabs>
              <w:spacing w:before="20" w:after="20" w:line="233" w:lineRule="auto"/>
              <w:ind w:left="240" w:hanging="270"/>
              <w:rPr>
                <w:rFonts w:ascii="Source Sans Pro" w:hAnsi="Source Sans Pro"/>
                <w:snapToGrid/>
                <w:sz w:val="22"/>
                <w:szCs w:val="22"/>
              </w:rPr>
            </w:pPr>
            <w:r w:rsidRPr="0046296F">
              <w:rPr>
                <w:rFonts w:ascii="Source Sans Pro" w:hAnsi="Source Sans Pro"/>
                <w:snapToGrid/>
                <w:sz w:val="22"/>
                <w:szCs w:val="22"/>
              </w:rPr>
              <w:t>Date the service period begins</w:t>
            </w:r>
          </w:p>
          <w:p w14:paraId="383ADA99" w14:textId="77777777" w:rsidR="00602BE6" w:rsidRPr="0046296F" w:rsidRDefault="00602BE6" w:rsidP="00FA170B">
            <w:pPr>
              <w:widowControl/>
              <w:numPr>
                <w:ilvl w:val="0"/>
                <w:numId w:val="31"/>
              </w:numPr>
              <w:tabs>
                <w:tab w:val="clear" w:pos="720"/>
                <w:tab w:val="num" w:pos="240"/>
              </w:tabs>
              <w:spacing w:before="20" w:after="20" w:line="233" w:lineRule="auto"/>
              <w:ind w:left="240" w:hanging="270"/>
              <w:rPr>
                <w:rFonts w:ascii="Source Sans Pro" w:hAnsi="Source Sans Pro"/>
                <w:snapToGrid/>
                <w:sz w:val="22"/>
                <w:szCs w:val="22"/>
              </w:rPr>
            </w:pPr>
            <w:r w:rsidRPr="0046296F">
              <w:rPr>
                <w:rFonts w:ascii="Source Sans Pro" w:hAnsi="Source Sans Pro"/>
                <w:snapToGrid/>
                <w:sz w:val="22"/>
                <w:szCs w:val="22"/>
              </w:rPr>
              <w:t>A provision addressing whether the individual would be required to reimburse the paying agency for benefits received if voluntarily separates to work for another agency prior to the end of the service period</w:t>
            </w:r>
          </w:p>
        </w:tc>
        <w:tc>
          <w:tcPr>
            <w:tcW w:w="3960" w:type="dxa"/>
            <w:tcBorders>
              <w:top w:val="single" w:sz="4" w:space="0" w:color="auto"/>
              <w:bottom w:val="single" w:sz="4" w:space="0" w:color="auto"/>
            </w:tcBorders>
          </w:tcPr>
          <w:p w14:paraId="44E1015D"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764A381E" w14:textId="77777777" w:rsidTr="00EF030F">
        <w:tc>
          <w:tcPr>
            <w:tcW w:w="337" w:type="dxa"/>
            <w:tcBorders>
              <w:top w:val="single" w:sz="4" w:space="0" w:color="auto"/>
              <w:bottom w:val="single" w:sz="4" w:space="0" w:color="auto"/>
            </w:tcBorders>
          </w:tcPr>
          <w:p w14:paraId="0FA393FA"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5F58F714" w14:textId="728912CF"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30BB033" w14:textId="21D4C948" w:rsidR="00602BE6" w:rsidRPr="0046296F" w:rsidRDefault="00602BE6" w:rsidP="00706A32">
            <w:pPr>
              <w:keepNext/>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Agency discontinues loan repayment benefits for employees who lose eligibility if the employee: [</w:t>
            </w:r>
            <w:hyperlink r:id="rId25" w:history="1">
              <w:r w:rsidRPr="00036D84">
                <w:rPr>
                  <w:rStyle w:val="Hyperlink"/>
                  <w:rFonts w:ascii="Source Sans Pro" w:hAnsi="Source Sans Pro"/>
                  <w:snapToGrid/>
                  <w:sz w:val="22"/>
                  <w:szCs w:val="22"/>
                </w:rPr>
                <w:t>5 CFR 537.108</w:t>
              </w:r>
            </w:hyperlink>
            <w:r w:rsidRPr="0046296F">
              <w:rPr>
                <w:rFonts w:ascii="Source Sans Pro" w:hAnsi="Source Sans Pro"/>
                <w:snapToGrid/>
                <w:sz w:val="22"/>
                <w:szCs w:val="22"/>
              </w:rPr>
              <w:t>]</w:t>
            </w:r>
          </w:p>
          <w:p w14:paraId="227390FC" w14:textId="77777777" w:rsidR="00602BE6" w:rsidRPr="0046296F" w:rsidRDefault="00602BE6" w:rsidP="00FA170B">
            <w:pPr>
              <w:keepNext/>
              <w:widowControl/>
              <w:numPr>
                <w:ilvl w:val="0"/>
                <w:numId w:val="1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Separates from the agency;</w:t>
            </w:r>
          </w:p>
          <w:p w14:paraId="468DE226" w14:textId="77777777" w:rsidR="00602BE6" w:rsidRPr="0046296F" w:rsidRDefault="00602BE6" w:rsidP="00FA170B">
            <w:pPr>
              <w:keepNext/>
              <w:widowControl/>
              <w:numPr>
                <w:ilvl w:val="0"/>
                <w:numId w:val="1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Does not maintain an acceptable level of performance (i.e. a rating of record of at least a Fully Successful or equivalent); or</w:t>
            </w:r>
          </w:p>
          <w:p w14:paraId="4C299409" w14:textId="77777777" w:rsidR="00602BE6" w:rsidRPr="0046296F" w:rsidRDefault="00602BE6" w:rsidP="00FA170B">
            <w:pPr>
              <w:keepNext/>
              <w:widowControl/>
              <w:numPr>
                <w:ilvl w:val="0"/>
                <w:numId w:val="10"/>
              </w:numPr>
              <w:tabs>
                <w:tab w:val="clear" w:pos="360"/>
                <w:tab w:val="num" w:pos="240"/>
              </w:tabs>
              <w:spacing w:before="20" w:after="20" w:line="233" w:lineRule="auto"/>
              <w:ind w:left="240" w:hanging="240"/>
              <w:rPr>
                <w:rFonts w:ascii="Source Sans Pro" w:hAnsi="Source Sans Pro"/>
                <w:snapToGrid/>
                <w:sz w:val="22"/>
                <w:szCs w:val="22"/>
              </w:rPr>
            </w:pPr>
            <w:r w:rsidRPr="0046296F">
              <w:rPr>
                <w:rFonts w:ascii="Source Sans Pro" w:hAnsi="Source Sans Pro"/>
                <w:snapToGrid/>
                <w:sz w:val="22"/>
                <w:szCs w:val="22"/>
              </w:rPr>
              <w:t xml:space="preserve">Violates a condition in the service agreement. </w:t>
            </w:r>
          </w:p>
        </w:tc>
        <w:tc>
          <w:tcPr>
            <w:tcW w:w="3960" w:type="dxa"/>
            <w:tcBorders>
              <w:top w:val="single" w:sz="4" w:space="0" w:color="auto"/>
              <w:bottom w:val="single" w:sz="4" w:space="0" w:color="auto"/>
            </w:tcBorders>
          </w:tcPr>
          <w:p w14:paraId="7220FB01"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7605EB81" w14:textId="77777777" w:rsidTr="00EF030F">
        <w:tc>
          <w:tcPr>
            <w:tcW w:w="337" w:type="dxa"/>
            <w:tcBorders>
              <w:top w:val="single" w:sz="4" w:space="0" w:color="auto"/>
              <w:bottom w:val="single" w:sz="4" w:space="0" w:color="auto"/>
            </w:tcBorders>
          </w:tcPr>
          <w:p w14:paraId="1F301AD8" w14:textId="77777777" w:rsidR="00602BE6" w:rsidRPr="0046296F" w:rsidRDefault="00602BE6" w:rsidP="00706A32">
            <w:pPr>
              <w:spacing w:before="20" w:after="20" w:line="233" w:lineRule="auto"/>
              <w:rPr>
                <w:rFonts w:ascii="Source Sans Pro" w:hAnsi="Source Sans Pro"/>
                <w:sz w:val="22"/>
                <w:szCs w:val="22"/>
              </w:rPr>
            </w:pPr>
            <w:r w:rsidRPr="0046296F">
              <w:rPr>
                <w:rFonts w:ascii="Source Sans Pro" w:hAnsi="Source Sans Pro"/>
                <w:sz w:val="22"/>
                <w:szCs w:val="22"/>
              </w:rPr>
              <w:t xml:space="preserve"> </w:t>
            </w:r>
          </w:p>
        </w:tc>
        <w:tc>
          <w:tcPr>
            <w:tcW w:w="360" w:type="dxa"/>
            <w:tcBorders>
              <w:top w:val="single" w:sz="4" w:space="0" w:color="auto"/>
              <w:bottom w:val="single" w:sz="4" w:space="0" w:color="auto"/>
            </w:tcBorders>
          </w:tcPr>
          <w:p w14:paraId="1857C053" w14:textId="66D89DF1"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7979F981" w14:textId="37CC8368" w:rsidR="00602BE6" w:rsidRPr="0046296F" w:rsidRDefault="00602BE6" w:rsidP="00706A32">
            <w:pPr>
              <w:keepNext/>
              <w:widowControl/>
              <w:spacing w:before="20" w:after="20" w:line="233" w:lineRule="auto"/>
              <w:rPr>
                <w:rFonts w:ascii="Source Sans Pro" w:hAnsi="Source Sans Pro"/>
                <w:snapToGrid/>
                <w:sz w:val="22"/>
                <w:szCs w:val="22"/>
              </w:rPr>
            </w:pPr>
            <w:r w:rsidRPr="0046296F">
              <w:rPr>
                <w:rFonts w:ascii="Source Sans Pro" w:hAnsi="Source Sans Pro"/>
                <w:snapToGrid/>
                <w:sz w:val="22"/>
                <w:szCs w:val="22"/>
              </w:rPr>
              <w:t>An employee who fails to complete the period of employment required by the service agreement or violates any agreement conditions must reimburse the paying agency for the amount received. [</w:t>
            </w:r>
            <w:hyperlink r:id="rId26" w:history="1">
              <w:r w:rsidRPr="00976F41">
                <w:rPr>
                  <w:rStyle w:val="Hyperlink"/>
                  <w:rFonts w:ascii="Source Sans Pro" w:hAnsi="Source Sans Pro"/>
                  <w:snapToGrid/>
                  <w:sz w:val="22"/>
                  <w:szCs w:val="22"/>
                </w:rPr>
                <w:t>5 CFR 537.109</w:t>
              </w:r>
            </w:hyperlink>
            <w:r w:rsidRPr="0046296F">
              <w:rPr>
                <w:rFonts w:ascii="Source Sans Pro" w:hAnsi="Source Sans Pro"/>
                <w:snapToGrid/>
                <w:sz w:val="22"/>
                <w:szCs w:val="22"/>
              </w:rPr>
              <w:t>]</w:t>
            </w:r>
          </w:p>
        </w:tc>
        <w:tc>
          <w:tcPr>
            <w:tcW w:w="3960" w:type="dxa"/>
            <w:tcBorders>
              <w:top w:val="single" w:sz="4" w:space="0" w:color="auto"/>
              <w:bottom w:val="single" w:sz="4" w:space="0" w:color="auto"/>
            </w:tcBorders>
          </w:tcPr>
          <w:p w14:paraId="5765C365"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602BE6" w:rsidRPr="0046296F" w14:paraId="6DCBC296" w14:textId="77777777" w:rsidTr="00EF030F">
        <w:tc>
          <w:tcPr>
            <w:tcW w:w="337" w:type="dxa"/>
            <w:tcBorders>
              <w:top w:val="single" w:sz="4" w:space="0" w:color="auto"/>
              <w:bottom w:val="single" w:sz="4" w:space="0" w:color="auto"/>
            </w:tcBorders>
          </w:tcPr>
          <w:p w14:paraId="5F902564" w14:textId="77777777" w:rsidR="00602BE6" w:rsidRPr="0046296F" w:rsidRDefault="00602BE6" w:rsidP="00706A32">
            <w:pPr>
              <w:spacing w:before="20" w:after="20" w:line="233" w:lineRule="auto"/>
              <w:rPr>
                <w:rFonts w:ascii="Source Sans Pro" w:hAnsi="Source Sans Pro"/>
                <w:sz w:val="22"/>
                <w:szCs w:val="22"/>
              </w:rPr>
            </w:pPr>
          </w:p>
        </w:tc>
        <w:tc>
          <w:tcPr>
            <w:tcW w:w="360" w:type="dxa"/>
            <w:tcBorders>
              <w:top w:val="single" w:sz="4" w:space="0" w:color="auto"/>
              <w:bottom w:val="single" w:sz="4" w:space="0" w:color="auto"/>
            </w:tcBorders>
          </w:tcPr>
          <w:p w14:paraId="5C28B0B1" w14:textId="01A6301B" w:rsidR="00602BE6" w:rsidRPr="0046296F" w:rsidRDefault="00602BE6" w:rsidP="00706A32">
            <w:pPr>
              <w:spacing w:before="20" w:after="20" w:line="233" w:lineRule="auto"/>
              <w:rPr>
                <w:rFonts w:ascii="Source Sans Pro" w:hAnsi="Source Sans Pro"/>
                <w:sz w:val="22"/>
                <w:szCs w:val="22"/>
              </w:rPr>
            </w:pPr>
          </w:p>
        </w:tc>
        <w:tc>
          <w:tcPr>
            <w:tcW w:w="5603" w:type="dxa"/>
            <w:tcBorders>
              <w:top w:val="single" w:sz="4" w:space="0" w:color="auto"/>
              <w:bottom w:val="single" w:sz="4" w:space="0" w:color="auto"/>
            </w:tcBorders>
          </w:tcPr>
          <w:p w14:paraId="200F67D2" w14:textId="7C99E9CA" w:rsidR="00602BE6" w:rsidRPr="0046296F" w:rsidRDefault="00602BE6" w:rsidP="00706A32">
            <w:pPr>
              <w:keepNext/>
              <w:widowControl/>
              <w:spacing w:before="20" w:after="20" w:line="233" w:lineRule="auto"/>
              <w:rPr>
                <w:rFonts w:ascii="Source Sans Pro" w:hAnsi="Source Sans Pro"/>
                <w:snapToGrid/>
                <w:sz w:val="22"/>
                <w:szCs w:val="22"/>
                <w:highlight w:val="yellow"/>
              </w:rPr>
            </w:pPr>
            <w:r w:rsidRPr="0046296F">
              <w:rPr>
                <w:rFonts w:ascii="Source Sans Pro" w:hAnsi="Source Sans Pro"/>
                <w:snapToGrid/>
                <w:sz w:val="22"/>
                <w:szCs w:val="22"/>
              </w:rPr>
              <w:t>Agency keeps records of determinations and submits required annual report to OPM. [</w:t>
            </w:r>
            <w:hyperlink r:id="rId27" w:history="1">
              <w:r w:rsidRPr="00425326">
                <w:rPr>
                  <w:rStyle w:val="Hyperlink"/>
                  <w:rFonts w:ascii="Source Sans Pro" w:hAnsi="Source Sans Pro"/>
                  <w:snapToGrid/>
                  <w:sz w:val="22"/>
                  <w:szCs w:val="22"/>
                </w:rPr>
                <w:t>5 U.S.C. 5379(h)(1)</w:t>
              </w:r>
            </w:hyperlink>
            <w:r w:rsidRPr="0046296F">
              <w:rPr>
                <w:rFonts w:ascii="Source Sans Pro" w:hAnsi="Source Sans Pro"/>
                <w:snapToGrid/>
                <w:sz w:val="22"/>
                <w:szCs w:val="22"/>
              </w:rPr>
              <w:t xml:space="preserve">; </w:t>
            </w:r>
            <w:hyperlink r:id="rId28" w:history="1">
              <w:r w:rsidRPr="00976F41">
                <w:rPr>
                  <w:rStyle w:val="Hyperlink"/>
                  <w:rFonts w:ascii="Source Sans Pro" w:hAnsi="Source Sans Pro"/>
                  <w:snapToGrid/>
                  <w:sz w:val="22"/>
                  <w:szCs w:val="22"/>
                </w:rPr>
                <w:t>5 CFR 537.110</w:t>
              </w:r>
            </w:hyperlink>
            <w:r w:rsidRPr="0046296F">
              <w:rPr>
                <w:rFonts w:ascii="Source Sans Pro" w:hAnsi="Source Sans Pro"/>
                <w:snapToGrid/>
                <w:sz w:val="22"/>
                <w:szCs w:val="22"/>
              </w:rPr>
              <w:t>]</w:t>
            </w:r>
          </w:p>
        </w:tc>
        <w:tc>
          <w:tcPr>
            <w:tcW w:w="3960" w:type="dxa"/>
            <w:tcBorders>
              <w:top w:val="single" w:sz="4" w:space="0" w:color="auto"/>
              <w:bottom w:val="single" w:sz="4" w:space="0" w:color="auto"/>
            </w:tcBorders>
          </w:tcPr>
          <w:p w14:paraId="0A0E9DE3" w14:textId="77777777" w:rsidR="00602BE6" w:rsidRPr="0046296F" w:rsidRDefault="00602BE6" w:rsidP="00706A32">
            <w:pPr>
              <w:spacing w:before="20" w:after="20" w:line="233" w:lineRule="auto"/>
              <w:rPr>
                <w:rFonts w:ascii="Source Sans Pro" w:hAnsi="Source Sans Pro"/>
                <w:sz w:val="22"/>
                <w:szCs w:val="22"/>
                <w:highlight w:val="yellow"/>
              </w:rPr>
            </w:pPr>
          </w:p>
        </w:tc>
      </w:tr>
      <w:tr w:rsidR="00EE336C" w:rsidRPr="0046296F" w14:paraId="06C854E1" w14:textId="77777777" w:rsidTr="00E47209">
        <w:tc>
          <w:tcPr>
            <w:tcW w:w="10260" w:type="dxa"/>
            <w:gridSpan w:val="4"/>
            <w:tcBorders>
              <w:top w:val="single" w:sz="4" w:space="0" w:color="auto"/>
              <w:bottom w:val="single" w:sz="4" w:space="0" w:color="auto"/>
            </w:tcBorders>
          </w:tcPr>
          <w:p w14:paraId="1EC3A68D" w14:textId="77777777" w:rsidR="00F80BEB" w:rsidRPr="001300B9" w:rsidRDefault="00F80BEB" w:rsidP="00F80BEB">
            <w:pPr>
              <w:pStyle w:val="Heading2"/>
              <w:rPr>
                <w:rFonts w:ascii="Source Sans Pro" w:hAnsi="Source Sans Pro"/>
                <w:szCs w:val="22"/>
              </w:rPr>
            </w:pPr>
            <w:bookmarkStart w:id="0" w:name="_Case_File_Summary/Comments:"/>
            <w:bookmarkEnd w:id="0"/>
            <w:r w:rsidRPr="001300B9">
              <w:rPr>
                <w:rFonts w:ascii="Source Sans Pro" w:hAnsi="Source Sans Pro"/>
                <w:szCs w:val="22"/>
              </w:rPr>
              <w:t>Case File Summary/Comments:</w:t>
            </w:r>
          </w:p>
          <w:p w14:paraId="316FF4D3" w14:textId="77777777" w:rsidR="00EE336C" w:rsidRDefault="00EE336C" w:rsidP="00706A32">
            <w:pPr>
              <w:spacing w:before="20" w:after="20" w:line="233" w:lineRule="auto"/>
              <w:rPr>
                <w:rFonts w:ascii="Source Sans Pro" w:hAnsi="Source Sans Pro"/>
                <w:sz w:val="22"/>
                <w:szCs w:val="22"/>
                <w:highlight w:val="yellow"/>
              </w:rPr>
            </w:pPr>
          </w:p>
          <w:p w14:paraId="179505C9" w14:textId="77777777" w:rsidR="00F80BEB" w:rsidRDefault="00F80BEB" w:rsidP="00706A32">
            <w:pPr>
              <w:spacing w:before="20" w:after="20" w:line="233" w:lineRule="auto"/>
              <w:rPr>
                <w:rFonts w:ascii="Source Sans Pro" w:hAnsi="Source Sans Pro"/>
                <w:sz w:val="22"/>
                <w:szCs w:val="22"/>
                <w:highlight w:val="yellow"/>
              </w:rPr>
            </w:pPr>
          </w:p>
          <w:p w14:paraId="678F7D57" w14:textId="77777777" w:rsidR="00F80BEB" w:rsidRPr="0046296F" w:rsidRDefault="00F80BEB" w:rsidP="00706A32">
            <w:pPr>
              <w:spacing w:before="20" w:after="20" w:line="233" w:lineRule="auto"/>
              <w:rPr>
                <w:rFonts w:ascii="Source Sans Pro" w:hAnsi="Source Sans Pro"/>
                <w:sz w:val="22"/>
                <w:szCs w:val="22"/>
                <w:highlight w:val="yellow"/>
              </w:rPr>
            </w:pPr>
          </w:p>
        </w:tc>
      </w:tr>
      <w:tr w:rsidR="003B7DC8" w:rsidRPr="0046296F" w14:paraId="34F0F1D1" w14:textId="7E4FC3C8" w:rsidTr="00EE336C">
        <w:tblPrEx>
          <w:tblCellMar>
            <w:left w:w="108" w:type="dxa"/>
            <w:right w:w="108" w:type="dxa"/>
          </w:tblCellMar>
        </w:tblPrEx>
        <w:trPr>
          <w:trHeight w:val="575"/>
        </w:trPr>
        <w:tc>
          <w:tcPr>
            <w:tcW w:w="6300" w:type="dxa"/>
            <w:gridSpan w:val="3"/>
            <w:tcBorders>
              <w:top w:val="nil"/>
              <w:left w:val="nil"/>
              <w:bottom w:val="nil"/>
              <w:right w:val="nil"/>
            </w:tcBorders>
          </w:tcPr>
          <w:p w14:paraId="555D5440" w14:textId="77777777" w:rsidR="00F80BEB" w:rsidRDefault="00F80BEB" w:rsidP="00F80BEB">
            <w:pPr>
              <w:rPr>
                <w:rFonts w:ascii="Source Sans Pro" w:hAnsi="Source Sans Pro"/>
                <w:b/>
                <w:sz w:val="22"/>
                <w:szCs w:val="22"/>
              </w:rPr>
            </w:pPr>
          </w:p>
          <w:p w14:paraId="410A3C7C" w14:textId="36FE505A" w:rsidR="003B7DC8" w:rsidRPr="00F80BEB" w:rsidRDefault="00CC380D" w:rsidP="00F80BEB">
            <w:pPr>
              <w:rPr>
                <w:rFonts w:ascii="Source Sans Pro" w:hAnsi="Source Sans Pro"/>
                <w:b/>
                <w:sz w:val="22"/>
                <w:szCs w:val="22"/>
              </w:rPr>
            </w:pPr>
            <w:r w:rsidRPr="00F80BEB">
              <w:rPr>
                <w:rFonts w:ascii="Source Sans Pro" w:hAnsi="Source Sans Pro"/>
                <w:b/>
                <w:sz w:val="22"/>
                <w:szCs w:val="22"/>
              </w:rPr>
              <w:t>R</w:t>
            </w:r>
            <w:r w:rsidR="003B7DC8" w:rsidRPr="00F80BEB">
              <w:rPr>
                <w:rFonts w:ascii="Source Sans Pro" w:hAnsi="Source Sans Pro"/>
                <w:b/>
                <w:sz w:val="22"/>
                <w:szCs w:val="22"/>
              </w:rPr>
              <w:t>eviewer/Title:________________________________________</w:t>
            </w:r>
          </w:p>
        </w:tc>
        <w:tc>
          <w:tcPr>
            <w:tcW w:w="3960" w:type="dxa"/>
            <w:tcBorders>
              <w:top w:val="nil"/>
              <w:left w:val="nil"/>
              <w:bottom w:val="nil"/>
              <w:right w:val="nil"/>
            </w:tcBorders>
          </w:tcPr>
          <w:p w14:paraId="62F7461E" w14:textId="77777777" w:rsidR="00F80BEB" w:rsidRDefault="00F80BEB" w:rsidP="00F80BEB">
            <w:pPr>
              <w:rPr>
                <w:rFonts w:ascii="Source Sans Pro" w:hAnsi="Source Sans Pro"/>
                <w:b/>
                <w:sz w:val="22"/>
                <w:szCs w:val="22"/>
              </w:rPr>
            </w:pPr>
          </w:p>
          <w:p w14:paraId="73E1B530" w14:textId="787606FE" w:rsidR="003B7DC8" w:rsidRPr="00F80BEB" w:rsidRDefault="003B7DC8" w:rsidP="00F80BEB">
            <w:pPr>
              <w:rPr>
                <w:rFonts w:ascii="Source Sans Pro" w:hAnsi="Source Sans Pro"/>
                <w:b/>
                <w:sz w:val="22"/>
                <w:szCs w:val="22"/>
              </w:rPr>
            </w:pPr>
            <w:r w:rsidRPr="00F80BEB">
              <w:rPr>
                <w:rFonts w:ascii="Source Sans Pro" w:hAnsi="Source Sans Pro"/>
                <w:b/>
                <w:sz w:val="22"/>
                <w:szCs w:val="22"/>
              </w:rPr>
              <w:t>Date:___________________</w:t>
            </w:r>
          </w:p>
        </w:tc>
      </w:tr>
    </w:tbl>
    <w:p w14:paraId="1A79B0AD" w14:textId="77777777" w:rsidR="003B7DC8" w:rsidRPr="00721611" w:rsidRDefault="003B7DC8" w:rsidP="00CC380D">
      <w:pPr>
        <w:tabs>
          <w:tab w:val="left" w:pos="162"/>
          <w:tab w:val="left" w:pos="1242"/>
          <w:tab w:val="left" w:pos="6642"/>
          <w:tab w:val="left" w:leader="dot" w:pos="7452"/>
          <w:tab w:val="left" w:leader="dot" w:pos="8712"/>
        </w:tabs>
        <w:ind w:right="-198"/>
        <w:rPr>
          <w:rFonts w:ascii="Source Serif Pro" w:hAnsi="Source Serif Pro"/>
          <w:sz w:val="16"/>
          <w:szCs w:val="16"/>
        </w:rPr>
      </w:pPr>
    </w:p>
    <w:sectPr w:rsidR="003B7DC8" w:rsidRPr="00721611">
      <w:headerReference w:type="default" r:id="rId29"/>
      <w:endnotePr>
        <w:numFmt w:val="decimal"/>
      </w:endnotePr>
      <w:pgSz w:w="12240" w:h="15840" w:code="1"/>
      <w:pgMar w:top="1152" w:right="1152" w:bottom="1152" w:left="1152"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A819" w14:textId="77777777" w:rsidR="00697B0C" w:rsidRDefault="00697B0C">
      <w:r>
        <w:separator/>
      </w:r>
    </w:p>
  </w:endnote>
  <w:endnote w:type="continuationSeparator" w:id="0">
    <w:p w14:paraId="12787ADD" w14:textId="77777777" w:rsidR="00697B0C" w:rsidRDefault="006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E813" w14:textId="77777777" w:rsidR="00697B0C" w:rsidRDefault="00697B0C">
      <w:r>
        <w:separator/>
      </w:r>
    </w:p>
  </w:footnote>
  <w:footnote w:type="continuationSeparator" w:id="0">
    <w:p w14:paraId="2E536558" w14:textId="77777777" w:rsidR="00697B0C" w:rsidRDefault="0069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92B8" w14:textId="77777777" w:rsidR="00FA170B" w:rsidRPr="009F531C" w:rsidRDefault="00FA170B">
    <w:pPr>
      <w:jc w:val="center"/>
      <w:rPr>
        <w:rFonts w:ascii="Source Sans Pro" w:hAnsi="Source Sans Pro"/>
        <w:b/>
        <w:sz w:val="28"/>
      </w:rPr>
    </w:pPr>
    <w:r w:rsidRPr="009F531C">
      <w:rPr>
        <w:rFonts w:ascii="Source Sans Pro" w:hAnsi="Source Sans Pro"/>
        <w:b/>
        <w:sz w:val="28"/>
      </w:rPr>
      <w:t xml:space="preserve">STUDENT LOAN REPAYMENT </w:t>
    </w:r>
  </w:p>
  <w:p w14:paraId="23114528" w14:textId="77777777" w:rsidR="00FA170B" w:rsidRPr="009F531C" w:rsidRDefault="00FA170B">
    <w:pPr>
      <w:jc w:val="center"/>
      <w:rPr>
        <w:rFonts w:ascii="Source Sans Pro" w:hAnsi="Source Sans Pro"/>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96B"/>
    <w:multiLevelType w:val="hybridMultilevel"/>
    <w:tmpl w:val="A4AA86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5217F"/>
    <w:multiLevelType w:val="hybridMultilevel"/>
    <w:tmpl w:val="5AF85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F67A9"/>
    <w:multiLevelType w:val="hybridMultilevel"/>
    <w:tmpl w:val="F26CA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560BF"/>
    <w:multiLevelType w:val="hybridMultilevel"/>
    <w:tmpl w:val="978A38DA"/>
    <w:lvl w:ilvl="0" w:tplc="0CDC9CEA">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8696B"/>
    <w:multiLevelType w:val="hybridMultilevel"/>
    <w:tmpl w:val="0F28D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B5579B"/>
    <w:multiLevelType w:val="hybridMultilevel"/>
    <w:tmpl w:val="5A70E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123293"/>
    <w:multiLevelType w:val="hybridMultilevel"/>
    <w:tmpl w:val="02523E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A0272F6"/>
    <w:multiLevelType w:val="hybridMultilevel"/>
    <w:tmpl w:val="93A6B0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295071"/>
    <w:multiLevelType w:val="hybridMultilevel"/>
    <w:tmpl w:val="73F8671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B583ABB"/>
    <w:multiLevelType w:val="hybridMultilevel"/>
    <w:tmpl w:val="839A16DC"/>
    <w:lvl w:ilvl="0" w:tplc="4F46A0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1C0E7F36"/>
    <w:multiLevelType w:val="hybridMultilevel"/>
    <w:tmpl w:val="12E67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601AA4"/>
    <w:multiLevelType w:val="hybridMultilevel"/>
    <w:tmpl w:val="B4966142"/>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36D540A"/>
    <w:multiLevelType w:val="hybridMultilevel"/>
    <w:tmpl w:val="AA26F32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7677FB"/>
    <w:multiLevelType w:val="hybridMultilevel"/>
    <w:tmpl w:val="703871A0"/>
    <w:lvl w:ilvl="0" w:tplc="FFFFFFFF">
      <w:start w:val="1"/>
      <w:numFmt w:val="decimal"/>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4CF24C3"/>
    <w:multiLevelType w:val="hybridMultilevel"/>
    <w:tmpl w:val="E662E85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55C3F98"/>
    <w:multiLevelType w:val="hybridMultilevel"/>
    <w:tmpl w:val="9362C1CE"/>
    <w:lvl w:ilvl="0" w:tplc="0CDC9CEA">
      <w:numFmt w:val="bullet"/>
      <w:lvlText w:val="-"/>
      <w:lvlJc w:val="left"/>
      <w:pPr>
        <w:tabs>
          <w:tab w:val="num" w:pos="720"/>
        </w:tabs>
        <w:ind w:left="720" w:hanging="360"/>
      </w:pPr>
      <w:rPr>
        <w:rFonts w:ascii="Times New Roman" w:eastAsia="Times New Roman" w:hAnsi="Times New Roman" w:cs="Times New Roman" w:hint="default"/>
      </w:rPr>
    </w:lvl>
    <w:lvl w:ilvl="1" w:tplc="4F46A01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8064C"/>
    <w:multiLevelType w:val="hybridMultilevel"/>
    <w:tmpl w:val="717AE8F4"/>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C763F2"/>
    <w:multiLevelType w:val="hybridMultilevel"/>
    <w:tmpl w:val="263068F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701BE3"/>
    <w:multiLevelType w:val="hybridMultilevel"/>
    <w:tmpl w:val="F9D647B2"/>
    <w:lvl w:ilvl="0" w:tplc="FFFFFFFF">
      <w:start w:val="1"/>
      <w:numFmt w:val="decimal"/>
      <w:lvlText w:val="%1."/>
      <w:lvlJc w:val="left"/>
      <w:pPr>
        <w:tabs>
          <w:tab w:val="num" w:pos="342"/>
        </w:tabs>
        <w:ind w:left="34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7464B"/>
    <w:multiLevelType w:val="hybridMultilevel"/>
    <w:tmpl w:val="DEE0D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F076B3"/>
    <w:multiLevelType w:val="hybridMultilevel"/>
    <w:tmpl w:val="0658C016"/>
    <w:lvl w:ilvl="0" w:tplc="4F46A0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F1B17"/>
    <w:multiLevelType w:val="hybridMultilevel"/>
    <w:tmpl w:val="0DF4A3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AA40A6A"/>
    <w:multiLevelType w:val="hybridMultilevel"/>
    <w:tmpl w:val="7C740E94"/>
    <w:lvl w:ilvl="0" w:tplc="4F46A0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F31333F"/>
    <w:multiLevelType w:val="hybridMultilevel"/>
    <w:tmpl w:val="87AA29A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668725D2"/>
    <w:multiLevelType w:val="hybridMultilevel"/>
    <w:tmpl w:val="28C680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9DA125B"/>
    <w:multiLevelType w:val="hybridMultilevel"/>
    <w:tmpl w:val="D6CAAB6A"/>
    <w:lvl w:ilvl="0" w:tplc="521C56E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94B78"/>
    <w:multiLevelType w:val="hybridMultilevel"/>
    <w:tmpl w:val="9C1EB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FA374A"/>
    <w:multiLevelType w:val="hybridMultilevel"/>
    <w:tmpl w:val="9C563036"/>
    <w:lvl w:ilvl="0" w:tplc="4F46A014">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8" w15:restartNumberingAfterBreak="0">
    <w:nsid w:val="6FC23D6C"/>
    <w:multiLevelType w:val="hybridMultilevel"/>
    <w:tmpl w:val="30C8DA64"/>
    <w:lvl w:ilvl="0" w:tplc="4F46A014">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9" w15:restartNumberingAfterBreak="0">
    <w:nsid w:val="738B723B"/>
    <w:multiLevelType w:val="multilevel"/>
    <w:tmpl w:val="D6CAAB6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F21D4"/>
    <w:multiLevelType w:val="hybridMultilevel"/>
    <w:tmpl w:val="0D2A5F8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75673742">
    <w:abstractNumId w:val="12"/>
  </w:num>
  <w:num w:numId="2" w16cid:durableId="2121802206">
    <w:abstractNumId w:val="6"/>
  </w:num>
  <w:num w:numId="3" w16cid:durableId="1781217934">
    <w:abstractNumId w:val="13"/>
  </w:num>
  <w:num w:numId="4" w16cid:durableId="714548085">
    <w:abstractNumId w:val="30"/>
  </w:num>
  <w:num w:numId="5" w16cid:durableId="160781797">
    <w:abstractNumId w:val="14"/>
  </w:num>
  <w:num w:numId="6" w16cid:durableId="9721529">
    <w:abstractNumId w:val="8"/>
  </w:num>
  <w:num w:numId="7" w16cid:durableId="1082871965">
    <w:abstractNumId w:val="16"/>
  </w:num>
  <w:num w:numId="8" w16cid:durableId="1388185602">
    <w:abstractNumId w:val="23"/>
  </w:num>
  <w:num w:numId="9" w16cid:durableId="1679696688">
    <w:abstractNumId w:val="11"/>
  </w:num>
  <w:num w:numId="10" w16cid:durableId="595865681">
    <w:abstractNumId w:val="7"/>
  </w:num>
  <w:num w:numId="11" w16cid:durableId="1293516114">
    <w:abstractNumId w:val="1"/>
  </w:num>
  <w:num w:numId="12" w16cid:durableId="1957446536">
    <w:abstractNumId w:val="18"/>
  </w:num>
  <w:num w:numId="13" w16cid:durableId="1934118681">
    <w:abstractNumId w:val="25"/>
  </w:num>
  <w:num w:numId="14" w16cid:durableId="773283054">
    <w:abstractNumId w:val="29"/>
  </w:num>
  <w:num w:numId="15" w16cid:durableId="1629896994">
    <w:abstractNumId w:val="3"/>
  </w:num>
  <w:num w:numId="16" w16cid:durableId="78597001">
    <w:abstractNumId w:val="21"/>
  </w:num>
  <w:num w:numId="17" w16cid:durableId="304895930">
    <w:abstractNumId w:val="0"/>
  </w:num>
  <w:num w:numId="18" w16cid:durableId="1194080465">
    <w:abstractNumId w:val="19"/>
  </w:num>
  <w:num w:numId="19" w16cid:durableId="1619023980">
    <w:abstractNumId w:val="24"/>
  </w:num>
  <w:num w:numId="20" w16cid:durableId="1685474608">
    <w:abstractNumId w:val="5"/>
  </w:num>
  <w:num w:numId="21" w16cid:durableId="1972203359">
    <w:abstractNumId w:val="15"/>
  </w:num>
  <w:num w:numId="22" w16cid:durableId="1333485739">
    <w:abstractNumId w:val="17"/>
  </w:num>
  <w:num w:numId="23" w16cid:durableId="1494949429">
    <w:abstractNumId w:val="4"/>
  </w:num>
  <w:num w:numId="24" w16cid:durableId="115680308">
    <w:abstractNumId w:val="2"/>
  </w:num>
  <w:num w:numId="25" w16cid:durableId="103235317">
    <w:abstractNumId w:val="27"/>
  </w:num>
  <w:num w:numId="26" w16cid:durableId="255526698">
    <w:abstractNumId w:val="28"/>
  </w:num>
  <w:num w:numId="27" w16cid:durableId="261106382">
    <w:abstractNumId w:val="9"/>
  </w:num>
  <w:num w:numId="28" w16cid:durableId="1342123570">
    <w:abstractNumId w:val="20"/>
  </w:num>
  <w:num w:numId="29" w16cid:durableId="2098936548">
    <w:abstractNumId w:val="22"/>
  </w:num>
  <w:num w:numId="30" w16cid:durableId="169178980">
    <w:abstractNumId w:val="10"/>
  </w:num>
  <w:num w:numId="31" w16cid:durableId="1607807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32"/>
    <w:rsid w:val="00036D84"/>
    <w:rsid w:val="00050030"/>
    <w:rsid w:val="00061567"/>
    <w:rsid w:val="000B5B3C"/>
    <w:rsid w:val="000D537A"/>
    <w:rsid w:val="00107785"/>
    <w:rsid w:val="001457CD"/>
    <w:rsid w:val="001471B1"/>
    <w:rsid w:val="00163B8B"/>
    <w:rsid w:val="001C0E2B"/>
    <w:rsid w:val="001F53C7"/>
    <w:rsid w:val="002515F6"/>
    <w:rsid w:val="00252C89"/>
    <w:rsid w:val="00270950"/>
    <w:rsid w:val="002716D2"/>
    <w:rsid w:val="002C72B8"/>
    <w:rsid w:val="002D26EB"/>
    <w:rsid w:val="00303673"/>
    <w:rsid w:val="00326170"/>
    <w:rsid w:val="00330781"/>
    <w:rsid w:val="00332147"/>
    <w:rsid w:val="00366A12"/>
    <w:rsid w:val="003A033E"/>
    <w:rsid w:val="003A4EA9"/>
    <w:rsid w:val="003B7DC8"/>
    <w:rsid w:val="003E205D"/>
    <w:rsid w:val="00425326"/>
    <w:rsid w:val="0046296F"/>
    <w:rsid w:val="004837BF"/>
    <w:rsid w:val="00491220"/>
    <w:rsid w:val="004A2AEA"/>
    <w:rsid w:val="004B47BA"/>
    <w:rsid w:val="004C77E4"/>
    <w:rsid w:val="00534BA9"/>
    <w:rsid w:val="00543FE8"/>
    <w:rsid w:val="00551715"/>
    <w:rsid w:val="00595E35"/>
    <w:rsid w:val="005B62DD"/>
    <w:rsid w:val="005C2F75"/>
    <w:rsid w:val="005E5E6A"/>
    <w:rsid w:val="00602BE6"/>
    <w:rsid w:val="00613D37"/>
    <w:rsid w:val="00623DA4"/>
    <w:rsid w:val="00637134"/>
    <w:rsid w:val="0064318E"/>
    <w:rsid w:val="006733FC"/>
    <w:rsid w:val="00697B0C"/>
    <w:rsid w:val="006B35A5"/>
    <w:rsid w:val="006F448C"/>
    <w:rsid w:val="007026B2"/>
    <w:rsid w:val="00706A32"/>
    <w:rsid w:val="00721611"/>
    <w:rsid w:val="00753046"/>
    <w:rsid w:val="00797917"/>
    <w:rsid w:val="00801555"/>
    <w:rsid w:val="00807076"/>
    <w:rsid w:val="00827627"/>
    <w:rsid w:val="00874A29"/>
    <w:rsid w:val="008B1FD1"/>
    <w:rsid w:val="008B473B"/>
    <w:rsid w:val="008C2BFC"/>
    <w:rsid w:val="0090117D"/>
    <w:rsid w:val="00950130"/>
    <w:rsid w:val="009663F0"/>
    <w:rsid w:val="00976F41"/>
    <w:rsid w:val="00980F2D"/>
    <w:rsid w:val="009A0D11"/>
    <w:rsid w:val="009B1A4C"/>
    <w:rsid w:val="009B2ADC"/>
    <w:rsid w:val="009D09EE"/>
    <w:rsid w:val="009F531C"/>
    <w:rsid w:val="00A04D44"/>
    <w:rsid w:val="00A069D4"/>
    <w:rsid w:val="00A73182"/>
    <w:rsid w:val="00A86010"/>
    <w:rsid w:val="00AA0C70"/>
    <w:rsid w:val="00AF6DD1"/>
    <w:rsid w:val="00B17470"/>
    <w:rsid w:val="00B55A77"/>
    <w:rsid w:val="00C07B47"/>
    <w:rsid w:val="00C23902"/>
    <w:rsid w:val="00C24830"/>
    <w:rsid w:val="00C440BA"/>
    <w:rsid w:val="00C91724"/>
    <w:rsid w:val="00CB42BA"/>
    <w:rsid w:val="00CC380D"/>
    <w:rsid w:val="00CC505A"/>
    <w:rsid w:val="00CC529A"/>
    <w:rsid w:val="00D157A8"/>
    <w:rsid w:val="00D2458B"/>
    <w:rsid w:val="00D24DE5"/>
    <w:rsid w:val="00D8634A"/>
    <w:rsid w:val="00DA0ACD"/>
    <w:rsid w:val="00DB01C4"/>
    <w:rsid w:val="00DD6B4F"/>
    <w:rsid w:val="00DE6322"/>
    <w:rsid w:val="00E52A5E"/>
    <w:rsid w:val="00E56E8A"/>
    <w:rsid w:val="00ED668A"/>
    <w:rsid w:val="00EE336C"/>
    <w:rsid w:val="00EF030F"/>
    <w:rsid w:val="00EF10C0"/>
    <w:rsid w:val="00EF4151"/>
    <w:rsid w:val="00F108C2"/>
    <w:rsid w:val="00F1219D"/>
    <w:rsid w:val="00F3251A"/>
    <w:rsid w:val="00F42626"/>
    <w:rsid w:val="00F80BEB"/>
    <w:rsid w:val="00FA170B"/>
    <w:rsid w:val="00FB24B7"/>
    <w:rsid w:val="00FF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58DD5B3"/>
  <w15:chartTrackingRefBased/>
  <w15:docId w15:val="{E32434BA-8B59-42D9-8794-7C0A1B1E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after="58"/>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C380D"/>
    <w:rPr>
      <w:rFonts w:ascii="Tahoma" w:hAnsi="Tahoma" w:cs="Tahoma"/>
      <w:sz w:val="16"/>
      <w:szCs w:val="16"/>
    </w:rPr>
  </w:style>
  <w:style w:type="character" w:styleId="CommentReference">
    <w:name w:val="annotation reference"/>
    <w:basedOn w:val="DefaultParagraphFont"/>
    <w:semiHidden/>
    <w:rsid w:val="00330781"/>
    <w:rPr>
      <w:sz w:val="16"/>
      <w:szCs w:val="16"/>
    </w:rPr>
  </w:style>
  <w:style w:type="paragraph" w:styleId="CommentText">
    <w:name w:val="annotation text"/>
    <w:basedOn w:val="Normal"/>
    <w:semiHidden/>
    <w:rsid w:val="00330781"/>
    <w:rPr>
      <w:sz w:val="20"/>
    </w:rPr>
  </w:style>
  <w:style w:type="paragraph" w:styleId="CommentSubject">
    <w:name w:val="annotation subject"/>
    <w:basedOn w:val="CommentText"/>
    <w:next w:val="CommentText"/>
    <w:semiHidden/>
    <w:rsid w:val="00330781"/>
    <w:rPr>
      <w:b/>
      <w:bCs/>
    </w:rPr>
  </w:style>
  <w:style w:type="paragraph" w:styleId="Revision">
    <w:name w:val="Revision"/>
    <w:hidden/>
    <w:uiPriority w:val="99"/>
    <w:semiHidden/>
    <w:rsid w:val="00050030"/>
    <w:rPr>
      <w:snapToGrid w:val="0"/>
      <w:sz w:val="24"/>
    </w:rPr>
  </w:style>
  <w:style w:type="character" w:styleId="Hyperlink">
    <w:name w:val="Hyperlink"/>
    <w:basedOn w:val="DefaultParagraphFont"/>
    <w:uiPriority w:val="99"/>
    <w:unhideWhenUsed/>
    <w:rsid w:val="00425326"/>
    <w:rPr>
      <w:color w:val="0563C1" w:themeColor="hyperlink"/>
      <w:u w:val="single"/>
    </w:rPr>
  </w:style>
  <w:style w:type="character" w:styleId="UnresolvedMention">
    <w:name w:val="Unresolved Mention"/>
    <w:basedOn w:val="DefaultParagraphFont"/>
    <w:uiPriority w:val="99"/>
    <w:semiHidden/>
    <w:unhideWhenUsed/>
    <w:rsid w:val="0042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79687">
      <w:bodyDiv w:val="1"/>
      <w:marLeft w:val="0"/>
      <w:marRight w:val="0"/>
      <w:marTop w:val="0"/>
      <w:marBottom w:val="0"/>
      <w:divBdr>
        <w:top w:val="none" w:sz="0" w:space="0" w:color="auto"/>
        <w:left w:val="none" w:sz="0" w:space="0" w:color="auto"/>
        <w:bottom w:val="none" w:sz="0" w:space="0" w:color="auto"/>
        <w:right w:val="none" w:sz="0" w:space="0" w:color="auto"/>
      </w:divBdr>
      <w:divsChild>
        <w:div w:id="48460068">
          <w:marLeft w:val="0"/>
          <w:marRight w:val="0"/>
          <w:marTop w:val="0"/>
          <w:marBottom w:val="0"/>
          <w:divBdr>
            <w:top w:val="none" w:sz="0" w:space="0" w:color="auto"/>
            <w:left w:val="none" w:sz="0" w:space="0" w:color="auto"/>
            <w:bottom w:val="none" w:sz="0" w:space="0" w:color="auto"/>
            <w:right w:val="none" w:sz="0" w:space="0" w:color="auto"/>
          </w:divBdr>
        </w:div>
        <w:div w:id="1652516343">
          <w:marLeft w:val="0"/>
          <w:marRight w:val="0"/>
          <w:marTop w:val="0"/>
          <w:marBottom w:val="0"/>
          <w:divBdr>
            <w:top w:val="none" w:sz="0" w:space="0" w:color="auto"/>
            <w:left w:val="none" w:sz="0" w:space="0" w:color="auto"/>
            <w:bottom w:val="none" w:sz="0" w:space="0" w:color="auto"/>
            <w:right w:val="none" w:sz="0" w:space="0" w:color="auto"/>
          </w:divBdr>
          <w:divsChild>
            <w:div w:id="255408221">
              <w:marLeft w:val="0"/>
              <w:marRight w:val="0"/>
              <w:marTop w:val="0"/>
              <w:marBottom w:val="0"/>
              <w:divBdr>
                <w:top w:val="none" w:sz="0" w:space="0" w:color="auto"/>
                <w:left w:val="none" w:sz="0" w:space="0" w:color="auto"/>
                <w:bottom w:val="none" w:sz="0" w:space="0" w:color="auto"/>
                <w:right w:val="none" w:sz="0" w:space="0" w:color="auto"/>
              </w:divBdr>
            </w:div>
            <w:div w:id="19138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5/chapter-I/subchapter-B/part-537/section-537.104" TargetMode="External"/><Relationship Id="rId18" Type="http://schemas.openxmlformats.org/officeDocument/2006/relationships/hyperlink" Target="https://www.ecfr.gov/current/title-5/chapter-I/subchapter-B/part-537/section-537.105" TargetMode="External"/><Relationship Id="rId26" Type="http://schemas.openxmlformats.org/officeDocument/2006/relationships/hyperlink" Target="https://www.ecfr.gov/current/title-5/chapter-I/subchapter-B/part-537/section-537.109" TargetMode="External"/><Relationship Id="rId3" Type="http://schemas.openxmlformats.org/officeDocument/2006/relationships/customXml" Target="../customXml/item3.xml"/><Relationship Id="rId21" Type="http://schemas.openxmlformats.org/officeDocument/2006/relationships/hyperlink" Target="https://www.ecfr.gov/current/title-5/chapter-I/subchapter-B/part-537/section-537.106" TargetMode="External"/><Relationship Id="rId7" Type="http://schemas.openxmlformats.org/officeDocument/2006/relationships/webSettings" Target="webSettings.xml"/><Relationship Id="rId12" Type="http://schemas.openxmlformats.org/officeDocument/2006/relationships/hyperlink" Target="https://www.ecfr.gov/current/title-5/chapter-I/subchapter-B/part-537/section-537.103" TargetMode="External"/><Relationship Id="rId17" Type="http://schemas.openxmlformats.org/officeDocument/2006/relationships/hyperlink" Target="https://www.ecfr.gov/current/title-5/chapter-I/subchapter-B/part-537/section-537.104" TargetMode="External"/><Relationship Id="rId25" Type="http://schemas.openxmlformats.org/officeDocument/2006/relationships/hyperlink" Target="https://www.ecfr.gov/current/title-5/chapter-I/subchapter-B/part-537/section-537.108" TargetMode="External"/><Relationship Id="rId2" Type="http://schemas.openxmlformats.org/officeDocument/2006/relationships/customXml" Target="../customXml/item2.xml"/><Relationship Id="rId16" Type="http://schemas.openxmlformats.org/officeDocument/2006/relationships/hyperlink" Target="https://uscode.house.gov/view.xhtml?req=%3F+the+provisions+of+this+chapter+are+in+addition+to+and+not+in+lieu+of+the+provisions+of+the+Convention.+%3F&amp;f=treesort&amp;num=43" TargetMode="External"/><Relationship Id="rId20" Type="http://schemas.openxmlformats.org/officeDocument/2006/relationships/hyperlink" Target="https://www.ecfr.gov/current/title-5/chapter-I/subchapter-B/part-537/section-537.10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5/chapter-I/subchapter-B/part-537" TargetMode="External"/><Relationship Id="rId24" Type="http://schemas.openxmlformats.org/officeDocument/2006/relationships/hyperlink" Target="https://www.ecfr.gov/current/title-5/chapter-I/subchapter-B/part-537/section-537.107" TargetMode="External"/><Relationship Id="rId5" Type="http://schemas.openxmlformats.org/officeDocument/2006/relationships/styles" Target="styles.xml"/><Relationship Id="rId15" Type="http://schemas.openxmlformats.org/officeDocument/2006/relationships/hyperlink" Target="https://www.ecfr.gov/current/title-5/chapter-I/subchapter-B/part-537/section-537.104" TargetMode="External"/><Relationship Id="rId23" Type="http://schemas.openxmlformats.org/officeDocument/2006/relationships/hyperlink" Target="https://www.ecfr.gov/current/title-5/chapter-I/subchapter-B/part-537/section-537.106" TargetMode="External"/><Relationship Id="rId28" Type="http://schemas.openxmlformats.org/officeDocument/2006/relationships/hyperlink" Target="https://www.ecfr.gov/current/title-5/chapter-I/subchapter-B/part-537/section-537.110" TargetMode="External"/><Relationship Id="rId10" Type="http://schemas.openxmlformats.org/officeDocument/2006/relationships/hyperlink" Target="https://uscode.house.gov/view.xhtml?req=%3F+the+provisions+of+this+chapter+are+in+addition+to+and+not+in+lieu+of+the+provisions+of+the+Convention.+%3F&amp;f=treesort&amp;num=43" TargetMode="External"/><Relationship Id="rId19" Type="http://schemas.openxmlformats.org/officeDocument/2006/relationships/hyperlink" Target="https://www.ecfr.gov/current/title-5/chapter-I/subchapter-B/part-537/section-537.10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5/chapter-I/subchapter-B/part-537/section-537.107" TargetMode="External"/><Relationship Id="rId22" Type="http://schemas.openxmlformats.org/officeDocument/2006/relationships/hyperlink" Target="https://uscode.house.gov/view.xhtml?req=%3F+the+provisions+of+this+chapter+are+in+addition+to+and+not+in+lieu+of+the+provisions+of+the+Convention.+%3F&amp;f=treesort&amp;num=43" TargetMode="External"/><Relationship Id="rId27" Type="http://schemas.openxmlformats.org/officeDocument/2006/relationships/hyperlink" Target="https://uscode.house.gov/view.xhtml?req=%3F+the+provisions+of+this+chapter+are+in+addition+to+and+not+in+lieu+of+the+provisions+of+the+Convention.+%3F&amp;f=treesort&amp;num=4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Props1.xml><?xml version="1.0" encoding="utf-8"?>
<ds:datastoreItem xmlns:ds="http://schemas.openxmlformats.org/officeDocument/2006/customXml" ds:itemID="{17B55675-5DC0-4CDC-A700-E1BEDC77FD0E}">
  <ds:schemaRefs>
    <ds:schemaRef ds:uri="http://schemas.microsoft.com/sharepoint/v3/contenttype/forms"/>
  </ds:schemaRefs>
</ds:datastoreItem>
</file>

<file path=customXml/itemProps2.xml><?xml version="1.0" encoding="utf-8"?>
<ds:datastoreItem xmlns:ds="http://schemas.openxmlformats.org/officeDocument/2006/customXml" ds:itemID="{13C86904-E879-4759-A8CE-1C22CE7A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62AD4-AA95-45D1-8F0F-AB8D341E8408}">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794</Words>
  <Characters>6867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PERFORMANCE PLAN REVIEW WORKSHEET</vt:lpstr>
    </vt:vector>
  </TitlesOfParts>
  <Company>OPM</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 REVIEW WORKSHEET</dc:title>
  <dc:subject/>
  <dc:creator>OMSOE</dc:creator>
  <cp:keywords/>
  <dc:description/>
  <cp:lastModifiedBy>Coleman, Shannon D CTR DODHRA DCPAS (USA)</cp:lastModifiedBy>
  <cp:revision>32</cp:revision>
  <cp:lastPrinted>2009-07-01T21:32:00Z</cp:lastPrinted>
  <dcterms:created xsi:type="dcterms:W3CDTF">2024-11-13T12:54:00Z</dcterms:created>
  <dcterms:modified xsi:type="dcterms:W3CDTF">2025-05-21T10:21:00Z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